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hd w:val="clear" w:color="auto" w:fill="1a237e"/>
        <w:spacing w:before="240" w:after="120" w:line="360" w:lineRule="auto"/>
        <w:jc w:val="center"/>
      </w:pPr>
      <w:r>
        <w:rPr>
          <w:rFonts w:ascii="黑体" w:hAnsi="黑体" w:eastAsia="黑体"/>
          <w:b/>
          <w:color w:val="FFFFFF"/>
          <w:sz w:val="26"/>
        </w:rPr>
        <w:t>格鲁吉亚宏观经济深度分析报告（2026年）</w:t>
      </w:r>
    </w:p>
    <w:p>
      <w:pPr>
        <w:spacing w:before="0" w:after="120" w:line="360" w:lineRule="auto"/>
        <w:ind w:left="283"/>
        <w:shd w:val="clear" w:color="auto" w:fill="f5f5f5"/>
      </w:pPr>
      <w:r>
        <w:rPr>
          <w:rFonts w:ascii="微软雅黑" w:hAnsi="微软雅黑" w:eastAsia="微软雅黑"/>
          <w:b w:val="0"/>
          <w:color w:val="808080"/>
          <w:sz w:val="18"/>
        </w:rPr>
        <w:t>报告日期：2026年9月25日</w:t>
      </w:r>
    </w:p>
    <w:p>
      <w:pPr>
        <w:spacing w:before="0" w:after="120" w:line="360" w:lineRule="auto"/>
        <w:ind w:left="283"/>
        <w:shd w:val="clear" w:color="auto" w:fill="f5f5f5"/>
      </w:pPr>
      <w:r>
        <w:rPr>
          <w:rFonts w:ascii="微软雅黑" w:hAnsi="微软雅黑" w:eastAsia="微软雅黑"/>
          <w:b w:val="0"/>
          <w:color w:val="808080"/>
          <w:sz w:val="18"/>
        </w:rPr>
        <w:t>数据覆盖：2024–2026年Q2，含IMF、ADB、World Bank、NBG、Geostat官方数据</w:t>
      </w:r>
    </w:p>
    <w:p>
      <w:pPr>
        <w:spacing w:before="0" w:after="120" w:line="360" w:lineRule="auto"/>
        <w:ind w:left="283"/>
        <w:shd w:val="clear" w:color="auto" w:fill="f5f5f5"/>
      </w:pPr>
      <w:r>
        <w:rPr>
          <w:rFonts w:ascii="微软雅黑" w:hAnsi="微软雅黑" w:eastAsia="微软雅黑"/>
          <w:b w:val="0"/>
          <w:color w:val="808080"/>
          <w:sz w:val="18"/>
        </w:rPr>
        <w:t>编制机构：金数私募研究部</w:t>
      </w:r>
    </w:p>
    <w:p/>
    <w:p>
      <w:pPr>
        <w:spacing w:before="160" w:after="80" w:line="360" w:lineRule="auto"/>
      </w:pPr>
      <w:r>
        <w:rPr>
          <w:rFonts w:ascii="黑体" w:hAnsi="黑体" w:eastAsia="黑体"/>
          <w:b/>
          <w:color w:val="1A237E"/>
          <w:sz w:val="22"/>
        </w:rPr>
        <w:t>目录</w:t>
      </w:r>
    </w:p>
    <w:p>
      <w:pPr>
        <w:spacing w:before="0" w:after="40" w:line="360" w:lineRule="auto"/>
      </w:pPr>
      <w:r>
        <w:rPr>
          <w:rFonts w:ascii="微软雅黑" w:hAnsi="微软雅黑" w:eastAsia="微软雅黑"/>
          <w:b w:val="0"/>
          <w:sz w:val="18"/>
        </w:rPr>
        <w:t>1. 执行摘要</w:t>
      </w:r>
    </w:p>
    <w:p>
      <w:pPr>
        <w:spacing w:before="0" w:after="40" w:line="360" w:lineRule="auto"/>
      </w:pPr>
      <w:r>
        <w:rPr>
          <w:rFonts w:ascii="微软雅黑" w:hAnsi="微软雅黑" w:eastAsia="微软雅黑"/>
          <w:b w:val="0"/>
          <w:sz w:val="18"/>
        </w:rPr>
        <w:t>2. 宏观经济概览</w:t>
      </w:r>
    </w:p>
    <w:p>
      <w:pPr>
        <w:spacing w:before="0" w:after="40" w:line="360" w:lineRule="auto"/>
      </w:pPr>
      <w:r>
        <w:rPr>
          <w:rFonts w:ascii="微软雅黑" w:hAnsi="微软雅黑" w:eastAsia="微软雅黑"/>
          <w:b w:val="0"/>
          <w:sz w:val="18"/>
        </w:rPr>
        <w:t>3. 经济增长分析</w:t>
      </w:r>
    </w:p>
    <w:p>
      <w:pPr>
        <w:spacing w:before="0" w:after="40" w:line="360" w:lineRule="auto"/>
      </w:pPr>
      <w:r>
        <w:rPr>
          <w:rFonts w:ascii="微软雅黑" w:hAnsi="微软雅黑" w:eastAsia="微软雅黑"/>
          <w:b w:val="0"/>
          <w:sz w:val="18"/>
        </w:rPr>
        <w:t>4. 通胀与货币政策</w:t>
      </w:r>
    </w:p>
    <w:p>
      <w:pPr>
        <w:spacing w:before="0" w:after="40" w:line="360" w:lineRule="auto"/>
      </w:pPr>
      <w:r>
        <w:rPr>
          <w:rFonts w:ascii="微软雅黑" w:hAnsi="微软雅黑" w:eastAsia="微软雅黑"/>
          <w:b w:val="0"/>
          <w:sz w:val="18"/>
        </w:rPr>
        <w:t>5. 财政状况分析</w:t>
      </w:r>
    </w:p>
    <w:p>
      <w:pPr>
        <w:spacing w:before="0" w:after="40" w:line="360" w:lineRule="auto"/>
      </w:pPr>
      <w:r>
        <w:rPr>
          <w:rFonts w:ascii="微软雅黑" w:hAnsi="微软雅黑" w:eastAsia="微软雅黑"/>
          <w:b w:val="0"/>
          <w:sz w:val="18"/>
        </w:rPr>
        <w:t>6. 外贸与经常账户</w:t>
      </w:r>
    </w:p>
    <w:p>
      <w:pPr>
        <w:spacing w:before="0" w:after="40" w:line="360" w:lineRule="auto"/>
      </w:pPr>
      <w:r>
        <w:rPr>
          <w:rFonts w:ascii="微软雅黑" w:hAnsi="微软雅黑" w:eastAsia="微软雅黑"/>
          <w:b w:val="0"/>
          <w:sz w:val="18"/>
        </w:rPr>
        <w:t>7. 金融市场与银行体系</w:t>
      </w:r>
    </w:p>
    <w:p>
      <w:pPr>
        <w:spacing w:before="0" w:after="40" w:line="360" w:lineRule="auto"/>
      </w:pPr>
      <w:r>
        <w:rPr>
          <w:rFonts w:ascii="微软雅黑" w:hAnsi="微软雅黑" w:eastAsia="微软雅黑"/>
          <w:b w:val="0"/>
          <w:sz w:val="18"/>
        </w:rPr>
        <w:t>8. 投资与产业发展</w:t>
      </w:r>
    </w:p>
    <w:p>
      <w:pPr>
        <w:spacing w:before="0" w:after="40" w:line="360" w:lineRule="auto"/>
      </w:pPr>
      <w:r>
        <w:rPr>
          <w:rFonts w:ascii="微软雅黑" w:hAnsi="微软雅黑" w:eastAsia="微软雅黑"/>
          <w:b w:val="0"/>
          <w:sz w:val="18"/>
        </w:rPr>
        <w:t>9. 风险评估与前瞻</w:t>
      </w:r>
    </w:p>
    <w:p>
      <w:pPr>
        <w:spacing w:before="0" w:after="40" w:line="360" w:lineRule="auto"/>
      </w:pPr>
      <w:r>
        <w:rPr>
          <w:rFonts w:ascii="微软雅黑" w:hAnsi="微软雅黑" w:eastAsia="微软雅黑"/>
          <w:b w:val="0"/>
          <w:sz w:val="18"/>
        </w:rPr>
        <w:t>10. 结论与建议</w:t>
      </w:r>
    </w:p>
    <w:p/>
    <w:p>
      <w:pPr>
        <w:spacing w:before="160" w:after="80" w:line="360" w:lineRule="auto"/>
      </w:pPr>
      <w:r>
        <w:rPr>
          <w:rFonts w:ascii="黑体" w:hAnsi="黑体" w:eastAsia="黑体"/>
          <w:b/>
          <w:color w:val="1A237E"/>
          <w:sz w:val="22"/>
        </w:rPr>
        <w:t>第一章 执行摘要</w:t>
      </w:r>
    </w:p>
    <w:p>
      <w:pPr>
        <w:spacing w:before="120" w:after="60" w:line="360" w:lineRule="auto"/>
      </w:pPr>
      <w:r>
        <w:rPr>
          <w:rFonts w:ascii="黑体" w:hAnsi="黑体" w:eastAsia="黑体"/>
          <w:b/>
          <w:color w:val="1A237E"/>
          <w:sz w:val="20"/>
        </w:rPr>
        <w:t>1.1 核心观点</w:t>
      </w:r>
    </w:p>
    <w:p>
      <w:pPr>
        <w:spacing w:before="0" w:after="80" w:line="360" w:lineRule="auto"/>
      </w:pPr>
      <w:r>
        <w:rPr>
          <w:rFonts w:ascii="微软雅黑" w:hAnsi="微软雅黑" w:eastAsia="微软雅黑"/>
          <w:b w:val="0"/>
          <w:sz w:val="18"/>
        </w:rPr>
        <w:t>格鲁吉亚在2026年上半年展现出超越市场预期的经济韧性，实际GDP同比增长7.9%，显著高于政府预算假设的5.0%和IMF预测的5.3%。这一表现主要得益于高生产率服务业部门的强劲扩张——交通运输与仓储、信息技术、建筑业和金融保险业共同贡献了超过60%的增速增量。然而，通胀压力持续高于央行目标，6月消费者价格指数（CPI）同比升至5.8%，核心通胀虽温和但仍存在二次传导风险。在此背景下，国家银行（NBG）维持8.25%的政策利率不变，货币政策立场保持适度紧缩。</w:t>
      </w:r>
    </w:p>
    <w:p>
      <w:pPr>
        <w:spacing w:before="0" w:after="80" w:line="360" w:lineRule="auto"/>
      </w:pPr>
      <w:r>
        <w:rPr>
          <w:rFonts w:ascii="微软雅黑" w:hAnsi="微软雅黑" w:eastAsia="微软雅黑"/>
          <w:b w:val="0"/>
          <w:sz w:val="18"/>
        </w:rPr>
        <w:t>从财政角度看，2026年上半年预算执行超预期，税收收入同比增长6.8%，其中增值税增长12.0%，个人所得税增长11.1%，企业所得税增长13.7%，反映出国内消费、工资增长和企业盈利的全面改善。公共债务/GDP比率持续下降至约34%，远低于危险阈值。外汇储备达到创纪录的71亿美元，可提供超过4个月的进口覆盖。</w:t>
      </w:r>
    </w:p>
    <w:p>
      <w:pPr>
        <w:spacing w:before="0" w:after="80" w:line="360" w:lineRule="auto"/>
      </w:pPr>
      <w:r>
        <w:rPr>
          <w:rFonts w:ascii="微软雅黑" w:hAnsi="微软雅黑" w:eastAsia="微软雅黑"/>
          <w:b w:val="0"/>
          <w:sz w:val="18"/>
        </w:rPr>
        <w:t>外部风险方面，中东地缘冲突升级推高国际能源价格，对格鲁吉亚通胀形成显著输入性压力；欧盟暂停入盟谈判至2028年带来政治不确定性；气候变化导致的国内水电减产影响能源供应安全。但与此同时，格鲁吉亚作为区域物流枢纽的战略地位日益凸显，中走廊（Middle Corridor）基础设施投资为长期增长奠定基础。</w:t>
      </w:r>
    </w:p>
    <w:p>
      <w:pPr>
        <w:spacing w:before="120" w:after="60" w:line="360" w:lineRule="auto"/>
      </w:pPr>
      <w:r>
        <w:rPr>
          <w:rFonts w:ascii="黑体" w:hAnsi="黑体" w:eastAsia="黑体"/>
          <w:b/>
          <w:color w:val="1A237E"/>
          <w:sz w:val="20"/>
        </w:rPr>
        <w:t>1.2 关键指标速览</w:t>
      </w:r>
    </w:p>
    <w:tbl>
      <w:tblPr>
        <w:tblStyle w:val="TableGrid"/>
        <w:tblW w:type="auto" w:w="0"/>
        <w:jc w:val="center"/>
        <w:tblLook w:firstColumn="1" w:firstRow="1" w:lastColumn="0" w:lastRow="0" w:noHBand="0" w:noVBand="1" w:val="04A0"/>
      </w:tblPr>
      <w:tblGrid>
        <w:gridCol w:w="1928"/>
        <w:gridCol w:w="1928"/>
        <w:gridCol w:w="1928"/>
        <w:gridCol w:w="1928"/>
        <w:gridCol w:w="1928"/>
      </w:tblGrid>
      <w:tr>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指标</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2024年</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2025年</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2026H1</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趋势</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实际GDP增速</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9.7%</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7.5%</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7.9%</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超预期</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年度CPI</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2.4%</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4.6%</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5.8%（6月）</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高于目标</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核心通胀</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1.8%</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2.8%</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3.2%</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温和</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央行利率</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8.0%</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8.0%</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8.25%</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偏紧</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公共债务/GDP</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36.1%</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34.7%</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~34%</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健康</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经常账户赤字/GDP</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4.6%</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&lt;3.0%</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显著改善</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外汇储备</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60亿美元</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75亿美元</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创纪录</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失业率</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13.9%</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结构性偏高</w:t>
            </w:r>
          </w:p>
        </w:tc>
      </w:tr>
    </w:tbl>
    <w:p>
      <w:pPr>
        <w:spacing w:before="120" w:after="60" w:line="360" w:lineRule="auto"/>
      </w:pPr>
      <w:r>
        <w:rPr>
          <w:rFonts w:ascii="黑体" w:hAnsi="黑体" w:eastAsia="黑体"/>
          <w:b/>
          <w:color w:val="1A237E"/>
          <w:sz w:val="20"/>
        </w:rPr>
        <w:t>1.3 预测修正</w:t>
      </w:r>
    </w:p>
    <w:p>
      <w:pPr>
        <w:spacing w:before="0" w:after="80" w:line="360" w:lineRule="auto"/>
      </w:pPr>
      <w:r>
        <w:rPr>
          <w:rFonts w:ascii="微软雅黑" w:hAnsi="微软雅黑" w:eastAsia="微软雅黑"/>
          <w:b w:val="0"/>
          <w:sz w:val="18"/>
        </w:rPr>
        <w:t>基于上半年强劲表现，多家机构上调2026年GDP增速预测：</w:t>
      </w:r>
    </w:p>
    <w:p>
      <w:pPr>
        <w:spacing w:before="0" w:after="40" w:line="360" w:lineRule="auto"/>
      </w:pPr>
      <w:r>
        <w:rPr>
          <w:rFonts w:ascii="微软雅黑" w:hAnsi="微软雅黑" w:eastAsia="微软雅黑"/>
          <w:b w:val="0"/>
          <w:sz w:val="18"/>
        </w:rPr>
        <w:t>Galt &amp; Taggart：从7.0%上调至7.5%</w:t>
      </w:r>
    </w:p>
    <w:p>
      <w:pPr>
        <w:spacing w:before="0" w:after="40" w:line="360" w:lineRule="auto"/>
      </w:pPr>
      <w:r>
        <w:rPr>
          <w:rFonts w:ascii="微软雅黑" w:hAnsi="微软雅黑" w:eastAsia="微软雅黑"/>
          <w:b w:val="0"/>
          <w:sz w:val="18"/>
        </w:rPr>
        <w:t>TBC Capital：维持7.4%预测</w:t>
      </w:r>
    </w:p>
    <w:p>
      <w:pPr>
        <w:spacing w:before="0" w:after="40" w:line="360" w:lineRule="auto"/>
      </w:pPr>
      <w:r>
        <w:rPr>
          <w:rFonts w:ascii="微软雅黑" w:hAnsi="微软雅黑" w:eastAsia="微软雅黑"/>
          <w:b w:val="0"/>
          <w:sz w:val="18"/>
        </w:rPr>
        <w:t>IMF（2026年6月Article IV）：维持6.5%预测（保守）</w:t>
      </w:r>
    </w:p>
    <w:p>
      <w:pPr>
        <w:spacing w:before="0" w:after="40" w:line="360" w:lineRule="auto"/>
      </w:pPr>
      <w:r>
        <w:rPr>
          <w:rFonts w:ascii="微软雅黑" w:hAnsi="微软雅黑" w:eastAsia="微软雅黑"/>
          <w:b w:val="0"/>
          <w:sz w:val="18"/>
        </w:rPr>
        <w:t>ADB（2026年4月）：预测5.5%（保守）</w:t>
      </w:r>
    </w:p>
    <w:p>
      <w:pPr>
        <w:spacing w:before="0" w:after="80" w:line="360" w:lineRule="auto"/>
      </w:pPr>
      <w:r>
        <w:rPr>
          <w:rFonts w:ascii="微软雅黑" w:hAnsi="微软雅黑" w:eastAsia="微软雅黑"/>
          <w:b w:val="0"/>
          <w:sz w:val="18"/>
        </w:rPr>
        <w:t>预计全年GDP增速区间为6.5%–7.5%，仍高于2025年的7.5%，但较上半年有所放缓，反映外部需求减弱和增长动能边际递减的趋势。</w:t>
      </w:r>
    </w:p>
    <w:p/>
    <w:p>
      <w:pPr>
        <w:spacing w:before="160" w:after="80" w:line="360" w:lineRule="auto"/>
      </w:pPr>
      <w:r>
        <w:rPr>
          <w:rFonts w:ascii="黑体" w:hAnsi="黑体" w:eastAsia="黑体"/>
          <w:b/>
          <w:color w:val="1A237E"/>
          <w:sz w:val="22"/>
        </w:rPr>
        <w:t>第二章 宏观经济概览</w:t>
      </w:r>
    </w:p>
    <w:p>
      <w:pPr>
        <w:spacing w:before="120" w:after="60" w:line="360" w:lineRule="auto"/>
      </w:pPr>
      <w:r>
        <w:rPr>
          <w:rFonts w:ascii="黑体" w:hAnsi="黑体" w:eastAsia="黑体"/>
          <w:b/>
          <w:color w:val="1A237E"/>
          <w:sz w:val="20"/>
        </w:rPr>
        <w:t>2.1 经济规模与结构</w:t>
      </w:r>
    </w:p>
    <w:p>
      <w:pPr>
        <w:spacing w:before="120" w:after="60" w:line="360" w:lineRule="auto"/>
      </w:pPr>
      <w:r>
        <w:rPr>
          <w:rFonts w:ascii="黑体" w:hAnsi="黑体" w:eastAsia="黑体"/>
          <w:b/>
          <w:color w:val="1A237E"/>
          <w:sz w:val="20"/>
        </w:rPr>
        <w:t>2.1.1 GDP总量与人均水平</w:t>
      </w:r>
    </w:p>
    <w:p>
      <w:pPr>
        <w:spacing w:before="0" w:after="80" w:line="360" w:lineRule="auto"/>
      </w:pPr>
      <w:r>
        <w:rPr>
          <w:rFonts w:ascii="微软雅黑" w:hAnsi="微软雅黑" w:eastAsia="微软雅黑"/>
          <w:b w:val="0"/>
          <w:sz w:val="18"/>
        </w:rPr>
        <w:t>2025年格鲁吉亚名义GDP达381亿美元（按当前汇率），实际GDP约427亿美元（2026年Wikipedia数据）。人均GDP（名义）为10,311美元（2025年世界银行数据），人均GDP（购买力平价）达33,999美元（2025年），居全球第68位。按购买力平价计算，2026年GDP达1,254.5亿美元，排名全球第98位。</w:t>
      </w:r>
    </w:p>
    <w:p>
      <w:pPr>
        <w:spacing w:before="0" w:after="80" w:line="360" w:lineRule="auto"/>
      </w:pPr>
      <w:r>
        <w:rPr>
          <w:rFonts w:ascii="微软雅黑" w:hAnsi="微软雅黑" w:eastAsia="微软雅黑"/>
          <w:b w:val="0"/>
          <w:sz w:val="18"/>
        </w:rPr>
        <w:t>从经济结构看，格鲁吉亚属于典型的服务业主导型经济体：</w:t>
      </w:r>
    </w:p>
    <w:tbl>
      <w:tblPr>
        <w:tblStyle w:val="TableGrid"/>
        <w:tblW w:type="auto" w:w="0"/>
        <w:jc w:val="center"/>
        <w:tblLook w:firstColumn="1" w:firstRow="1" w:lastColumn="0" w:lastRow="0" w:noHBand="0" w:noVBand="1" w:val="04A0"/>
      </w:tblPr>
      <w:tblGrid>
        <w:gridCol w:w="3213"/>
        <w:gridCol w:w="3213"/>
        <w:gridCol w:w="3213"/>
      </w:tblGrid>
      <w:tr>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产业部门</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GDP占比（2024年）</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特征</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批发零售贸易、机动车维修</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15.2%</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最大单一部门，含大量汽车转口贸易</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房地产业</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9.9%</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受外资流入和旅游业推动持续增长</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制造业</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9.3%</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食品加工、饮料、石油产品精炼为主</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建筑业</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8.4%</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基础设施投资驱动，2026年增长显著</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公共行政与国防</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7.0%</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政府支出稳定</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信息与通信</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6.4%</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增速最快的部门之一，IT外包产业崛起</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农业、林业与渔业</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6.2%</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传统部门，占比持续下降</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交通运输与仓储</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5.9%</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区域物流枢纽地位凸显</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其他</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31.8%</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金融、保险、医疗等</w:t>
            </w:r>
          </w:p>
        </w:tc>
      </w:tr>
    </w:tbl>
    <w:p>
      <w:pPr>
        <w:spacing w:before="120" w:after="60" w:line="360" w:lineRule="auto"/>
      </w:pPr>
      <w:r>
        <w:rPr>
          <w:rFonts w:ascii="黑体" w:hAnsi="黑体" w:eastAsia="黑体"/>
          <w:b/>
          <w:color w:val="1A237E"/>
          <w:sz w:val="20"/>
        </w:rPr>
        <w:t>2.1.2 人口与劳动力市场</w:t>
      </w:r>
    </w:p>
    <w:p>
      <w:pPr>
        <w:spacing w:before="0" w:after="80" w:line="360" w:lineRule="auto"/>
      </w:pPr>
      <w:r>
        <w:rPr>
          <w:rFonts w:ascii="微软雅黑" w:hAnsi="微软雅黑" w:eastAsia="微软雅黑"/>
          <w:b w:val="0"/>
          <w:sz w:val="18"/>
        </w:rPr>
        <w:t>2026年初人口约394.1万人（Geostat数据），较2024年的370万有所增长，主要得益于俄罗斯战争引发的移民流入。劳动力总数约185.4万人（2024年），就业率为56%。劳动力结构：农业8.2%、工业23.7%、服务业67.9%。</w:t>
      </w:r>
    </w:p>
    <w:p>
      <w:pPr>
        <w:spacing w:before="0" w:after="80" w:line="360" w:lineRule="auto"/>
      </w:pPr>
      <w:r>
        <w:rPr>
          <w:rFonts w:ascii="微软雅黑" w:hAnsi="微软雅黑" w:eastAsia="微软雅黑"/>
          <w:b w:val="0"/>
          <w:sz w:val="18"/>
        </w:rPr>
        <w:t>失业率保持在13.9%的高位（2025年），青年失业率问题尤为突出。结构性失业源于技能错配——大量劳动力集中在低生产率农业和非正规部门，而高生产率服务业部门面临技能短缺。世界银行指出，非正规就业和自雇占比过高是制约收入趋同和包容性增长的关键因素。</w:t>
      </w:r>
    </w:p>
    <w:p>
      <w:pPr>
        <w:spacing w:before="120" w:after="60" w:line="360" w:lineRule="auto"/>
      </w:pPr>
      <w:r>
        <w:rPr>
          <w:rFonts w:ascii="黑体" w:hAnsi="黑体" w:eastAsia="黑体"/>
          <w:b/>
          <w:color w:val="1A237E"/>
          <w:sz w:val="20"/>
        </w:rPr>
        <w:t>2.2 经济周期定位</w:t>
      </w:r>
    </w:p>
    <w:p>
      <w:pPr>
        <w:spacing w:before="0" w:after="80" w:line="360" w:lineRule="auto"/>
      </w:pPr>
      <w:r>
        <w:rPr>
          <w:rFonts w:ascii="微软雅黑" w:hAnsi="微软雅黑" w:eastAsia="微软雅黑"/>
          <w:b w:val="0"/>
          <w:sz w:val="18"/>
        </w:rPr>
        <w:t>格鲁吉亚经济在2022–2024年间经历了近两位数的高速增长期（2022年10.4%、2023年7.8%、2024年9.7%），主要受益于俄乌战争带来的地缘红利——大量俄罗斯资本和人才流入、过境贸易激增、旅游需求旺盛。2025年增长7.5%，开始向潜在增速回归。2026年上半年7.9%的表现超出预期，但下半年增速预计回落至6%–7%区间，全年增速约6.5%–7.0%。</w:t>
      </w:r>
    </w:p>
    <w:p>
      <w:pPr>
        <w:spacing w:before="0" w:after="80" w:line="360" w:lineRule="auto"/>
      </w:pPr>
      <w:r>
        <w:rPr>
          <w:rFonts w:ascii="微软雅黑" w:hAnsi="微软雅黑" w:eastAsia="微软雅黑"/>
          <w:b w:val="0"/>
          <w:sz w:val="18"/>
        </w:rPr>
        <w:t>从中期视角看，IMF预测潜在增长率约为5.0%，这意味着2026年的高增长部分源于短期外部冲击带来的临时性需求扩张，不可持续。未来3–5年，随着移民流入放缓、区域贸易格局调整和中东冲突影响消退，经济增长将逐步收敛至潜在增速。</w:t>
      </w:r>
    </w:p>
    <w:p/>
    <w:p>
      <w:pPr>
        <w:spacing w:before="160" w:after="80" w:line="360" w:lineRule="auto"/>
      </w:pPr>
      <w:r>
        <w:rPr>
          <w:rFonts w:ascii="黑体" w:hAnsi="黑体" w:eastAsia="黑体"/>
          <w:b/>
          <w:color w:val="1A237E"/>
          <w:sz w:val="22"/>
        </w:rPr>
        <w:t>第三章 经济增长分析</w:t>
      </w:r>
    </w:p>
    <w:p>
      <w:pPr>
        <w:spacing w:before="120" w:after="60" w:line="360" w:lineRule="auto"/>
      </w:pPr>
      <w:r>
        <w:rPr>
          <w:rFonts w:ascii="黑体" w:hAnsi="黑体" w:eastAsia="黑体"/>
          <w:b/>
          <w:color w:val="1A237E"/>
          <w:sz w:val="20"/>
        </w:rPr>
        <w:t>3.1 季度增速演变</w:t>
      </w:r>
    </w:p>
    <w:p>
      <w:pPr>
        <w:spacing w:before="0" w:after="80" w:line="360" w:lineRule="auto"/>
      </w:pPr>
      <w:r>
        <w:rPr>
          <w:rFonts w:ascii="微软雅黑" w:hAnsi="微软雅黑" w:eastAsia="微软雅黑"/>
          <w:b w:val="0"/>
          <w:sz w:val="18"/>
        </w:rPr>
        <w:t>2026年上半年各月增速呈现波动上升态势：</w:t>
      </w:r>
    </w:p>
    <w:tbl>
      <w:tblPr>
        <w:tblStyle w:val="TableGrid"/>
        <w:tblW w:type="auto" w:w="0"/>
        <w:jc w:val="center"/>
        <w:tblLook w:firstColumn="1" w:firstRow="1" w:lastColumn="0" w:lastRow="0" w:noHBand="0" w:noVBand="1" w:val="04A0"/>
      </w:tblPr>
      <w:tblGrid>
        <w:gridCol w:w="3213"/>
        <w:gridCol w:w="3213"/>
        <w:gridCol w:w="3213"/>
      </w:tblGrid>
      <w:tr>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月份</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实际GDP增速（YoY）</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驱动因素</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7.9%</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消费复苏、节日季支出</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8.8%</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制造业出口扩张</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3月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10.7%</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peak月度增速，汽车转口爆发</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4月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6.2%</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季节性回落</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5月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6.4%</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服务业维持扩张</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6月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8.6%</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制造业+运输业双轮驱动</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**H1平均**</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**7.9%**</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超官方预测6.5%</w:t>
            </w:r>
          </w:p>
        </w:tc>
      </w:tr>
    </w:tbl>
    <w:p>
      <w:pPr>
        <w:spacing w:before="0" w:after="80" w:line="360" w:lineRule="auto"/>
      </w:pPr>
      <w:r>
        <w:rPr>
          <w:rFonts w:ascii="微软雅黑" w:hAnsi="微软雅黑" w:eastAsia="微软雅黑"/>
          <w:b w:val="0"/>
          <w:sz w:val="18"/>
        </w:rPr>
        <w:t>季度维度：Q1增速9.0%（2026年最高季度），Q2初步估计6.9%（年化后）。</w:t>
      </w:r>
    </w:p>
    <w:p>
      <w:pPr>
        <w:spacing w:before="120" w:after="60" w:line="360" w:lineRule="auto"/>
      </w:pPr>
      <w:r>
        <w:rPr>
          <w:rFonts w:ascii="黑体" w:hAnsi="黑体" w:eastAsia="黑体"/>
          <w:b/>
          <w:color w:val="1A237E"/>
          <w:sz w:val="20"/>
        </w:rPr>
        <w:t>3.2 部门贡献分解</w:t>
      </w:r>
    </w:p>
    <w:p>
      <w:pPr>
        <w:spacing w:before="0" w:after="80" w:line="360" w:lineRule="auto"/>
      </w:pPr>
      <w:r>
        <w:rPr>
          <w:rFonts w:ascii="微软雅黑" w:hAnsi="微软雅黑" w:eastAsia="微软雅黑"/>
          <w:b w:val="0"/>
          <w:sz w:val="18"/>
        </w:rPr>
        <w:t>2026年6月增长的五大驱动部门：</w:t>
      </w:r>
    </w:p>
    <w:tbl>
      <w:tblPr>
        <w:tblStyle w:val="TableGrid"/>
        <w:tblW w:type="auto" w:w="0"/>
        <w:jc w:val="center"/>
        <w:tblLook w:firstColumn="1" w:firstRow="1" w:lastColumn="0" w:lastRow="0" w:noHBand="0" w:noVBand="1" w:val="04A0"/>
      </w:tblPr>
      <w:tblGrid>
        <w:gridCol w:w="3213"/>
        <w:gridCol w:w="3213"/>
        <w:gridCol w:w="3213"/>
      </w:tblGrid>
      <w:tr>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部门</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增速（YoY）</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贡献度</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制造业</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7.3%</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主要：石油产品出口激增</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交通运输与仓储</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19.8%</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航空运输+仓储物流</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建筑业</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住宅+商业建设双增长</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信息与通信</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16.6%</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电信服务+软件开发</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金融业</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利息收入增长</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批发零售贸易</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8.0%</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机动车出口占主导</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艺术娱乐休闲</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17.4%</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旅游恢复</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健康与社会工作</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15.0%</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公共服务扩张</w:t>
            </w:r>
          </w:p>
        </w:tc>
      </w:tr>
    </w:tbl>
    <w:p>
      <w:pPr>
        <w:spacing w:before="0" w:after="80" w:line="360" w:lineRule="auto"/>
      </w:pPr>
      <w:r>
        <w:rPr>
          <w:rFonts w:ascii="微软雅黑" w:hAnsi="微软雅黑" w:eastAsia="微软雅黑"/>
          <w:b w:val="0"/>
          <w:sz w:val="18"/>
        </w:rPr>
        <w:t>下降部门：</w:t>
      </w:r>
    </w:p>
    <w:p>
      <w:pPr>
        <w:spacing w:before="0" w:after="40" w:line="360" w:lineRule="auto"/>
      </w:pPr>
      <w:r>
        <w:rPr>
          <w:rFonts w:ascii="微软雅黑" w:hAnsi="微软雅黑" w:eastAsia="微软雅黑"/>
          <w:b w:val="0"/>
          <w:sz w:val="18"/>
        </w:rPr>
        <w:t>**采矿业**：因金属矿开采量减少而收缩</w:t>
      </w:r>
    </w:p>
    <w:p>
      <w:pPr>
        <w:spacing w:before="0" w:after="40" w:line="360" w:lineRule="auto"/>
      </w:pPr>
      <w:r>
        <w:rPr>
          <w:rFonts w:ascii="微软雅黑" w:hAnsi="微软雅黑" w:eastAsia="微软雅黑"/>
          <w:b w:val="0"/>
          <w:sz w:val="18"/>
        </w:rPr>
        <w:t>**能源业**：水电产量同比下降约16%，因河流水量不足</w:t>
      </w:r>
    </w:p>
    <w:p>
      <w:pPr>
        <w:spacing w:before="120" w:after="60" w:line="360" w:lineRule="auto"/>
      </w:pPr>
      <w:r>
        <w:rPr>
          <w:rFonts w:ascii="黑体" w:hAnsi="黑体" w:eastAsia="黑体"/>
          <w:b/>
          <w:color w:val="1A237E"/>
          <w:sz w:val="20"/>
        </w:rPr>
        <w:t>3.3 需求侧分析</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消费</w:t>
      </w:r>
    </w:p>
    <w:p>
      <w:pPr>
        <w:spacing w:before="0" w:after="80" w:line="360" w:lineRule="auto"/>
      </w:pPr>
      <w:r>
        <w:rPr>
          <w:rFonts w:ascii="微软雅黑" w:hAnsi="微软雅黑" w:eastAsia="微软雅黑"/>
          <w:b w:val="0"/>
          <w:sz w:val="18"/>
        </w:rPr>
        <w:t>：私人消费是经济增长的核心引擎。2025年实际工资增长11.5%，实际信贷增长10.1%，支撑了强劲的消费需求。汇款净流入在2026年上半年同比增长11%，达16.9亿美元，主要来自欧盟、美国和以色列。</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投资</w:t>
      </w:r>
    </w:p>
    <w:p>
      <w:pPr>
        <w:spacing w:before="0" w:after="80" w:line="360" w:lineRule="auto"/>
      </w:pPr>
      <w:r>
        <w:rPr>
          <w:rFonts w:ascii="微软雅黑" w:hAnsi="微软雅黑" w:eastAsia="微软雅黑"/>
          <w:b w:val="0"/>
          <w:sz w:val="18"/>
        </w:rPr>
        <w:t>：资本形成对增长的贡献相对有限。2026年上半年政府资本支出执行率仅92%，低于计划，主要因项目执行延迟。私营部门投资受中东冲突不确定性影响有所观望。</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净出口</w:t>
      </w:r>
    </w:p>
    <w:p>
      <w:pPr>
        <w:spacing w:before="0" w:after="80" w:line="360" w:lineRule="auto"/>
      </w:pPr>
      <w:r>
        <w:rPr>
          <w:rFonts w:ascii="微软雅黑" w:hAnsi="微软雅黑" w:eastAsia="微软雅黑"/>
          <w:b w:val="0"/>
          <w:sz w:val="18"/>
        </w:rPr>
        <w:t>：商品贸易逆差仍在扩大，但服务出口（旅游+运输）有效对冲了部分缺口。2026年上半年商品出口增长20%至38.8亿美元，但进口仅增长0.7%至90.5亿美元，贸易逆差收窄至51.7亿美元。汽车转口贸易（特别是从美国进口再出口的二手车）是出口增长的主要来源。</w:t>
      </w:r>
    </w:p>
    <w:p>
      <w:pPr>
        <w:spacing w:before="120" w:after="60" w:line="360" w:lineRule="auto"/>
      </w:pPr>
      <w:r>
        <w:rPr>
          <w:rFonts w:ascii="黑体" w:hAnsi="黑体" w:eastAsia="黑体"/>
          <w:b/>
          <w:color w:val="1A237E"/>
          <w:sz w:val="20"/>
        </w:rPr>
        <w:t>3.4 增长质量评估</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积极面</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增速由高生产率服务业部门驱动，非传统低效部门</w:t>
      </w:r>
    </w:p>
    <w:p>
      <w:pPr>
        <w:spacing w:before="0" w:after="40" w:line="360" w:lineRule="auto"/>
      </w:pPr>
      <w:r>
        <w:rPr>
          <w:rFonts w:ascii="微软雅黑" w:hAnsi="微软雅黑" w:eastAsia="微软雅黑"/>
          <w:b w:val="0"/>
          <w:sz w:val="18"/>
        </w:rPr>
        <w:t>企业营业额增长14%（2026年6月），超过GDP增速，表明增长有真实商业基础支撑</w:t>
      </w:r>
    </w:p>
    <w:p>
      <w:pPr>
        <w:spacing w:before="0" w:after="40" w:line="360" w:lineRule="auto"/>
      </w:pPr>
      <w:r>
        <w:rPr>
          <w:rFonts w:ascii="微软雅黑" w:hAnsi="微软雅黑" w:eastAsia="微软雅黑"/>
          <w:b w:val="0"/>
          <w:sz w:val="18"/>
        </w:rPr>
        <w:t>信贷增长与GDP增长基本同步，未出现过度杠杆化</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隐忧</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消费驱动型增长对进口依赖度高，经常账户改善空间有限</w:t>
      </w:r>
    </w:p>
    <w:p>
      <w:pPr>
        <w:spacing w:before="0" w:after="40" w:line="360" w:lineRule="auto"/>
      </w:pPr>
      <w:r>
        <w:rPr>
          <w:rFonts w:ascii="微软雅黑" w:hAnsi="微软雅黑" w:eastAsia="微软雅黑"/>
          <w:b w:val="0"/>
          <w:sz w:val="18"/>
        </w:rPr>
        <w:t>汇率升值的竞争力效应正在削弱出口部门利润</w:t>
      </w:r>
    </w:p>
    <w:p>
      <w:pPr>
        <w:spacing w:before="0" w:after="40" w:line="360" w:lineRule="auto"/>
      </w:pPr>
      <w:r>
        <w:rPr>
          <w:rFonts w:ascii="微软雅黑" w:hAnsi="微软雅黑" w:eastAsia="微软雅黑"/>
          <w:b w:val="0"/>
          <w:sz w:val="18"/>
        </w:rPr>
        <w:t>公共投资执行效率偏低，项目延迟问题持续</w:t>
      </w:r>
    </w:p>
    <w:p/>
    <w:p>
      <w:pPr>
        <w:spacing w:before="160" w:after="80" w:line="360" w:lineRule="auto"/>
      </w:pPr>
      <w:r>
        <w:rPr>
          <w:rFonts w:ascii="黑体" w:hAnsi="黑体" w:eastAsia="黑体"/>
          <w:b/>
          <w:color w:val="1A237E"/>
          <w:sz w:val="22"/>
        </w:rPr>
        <w:t>第四章 通胀与货币政策</w:t>
      </w:r>
    </w:p>
    <w:p>
      <w:pPr>
        <w:spacing w:before="120" w:after="60" w:line="360" w:lineRule="auto"/>
      </w:pPr>
      <w:r>
        <w:rPr>
          <w:rFonts w:ascii="黑体" w:hAnsi="黑体" w:eastAsia="黑体"/>
          <w:b/>
          <w:color w:val="1A237E"/>
          <w:sz w:val="20"/>
        </w:rPr>
        <w:t>4.1 通胀动态</w:t>
      </w:r>
    </w:p>
    <w:p>
      <w:pPr>
        <w:spacing w:before="0" w:after="80" w:line="360" w:lineRule="auto"/>
      </w:pPr>
      <w:r>
        <w:rPr>
          <w:rFonts w:ascii="微软雅黑" w:hAnsi="微软雅黑" w:eastAsia="微软雅黑"/>
          <w:b w:val="0"/>
          <w:sz w:val="18"/>
        </w:rPr>
        <w:t>2026年通胀走势呈现"上半冲高、下半回落"的轨迹：</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月份</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CPI同比</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核心通胀（不含食品/能源/烟草）</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服务通胀</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4.3%</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2.8%</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3.5%</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4.6%</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2.9%</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3.7%</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3月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5.2%</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3.0%</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3.9%</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4月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5.9%</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3.1%</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4.0%</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5月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5.7%</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3.5%</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3.8%</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6月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5.8%</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3.2%</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4.1%</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7月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5.5%</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3.4%</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4.2%</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8月</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5.6%</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3.6%</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4.4%</w:t>
            </w:r>
          </w:p>
        </w:tc>
      </w:tr>
    </w:tbl>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通胀成因分析</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1. **能源价格冲击**：中东冲突导致国际油价在2026年7月霍尔木兹海峡封锁期间飙升，直接推高国内燃料价格。NBG估计能源价格是通胀偏离目标的主要因素。</w:t>
      </w:r>
    </w:p>
    <w:p>
      <w:pPr>
        <w:spacing w:before="0" w:after="40" w:line="360" w:lineRule="auto"/>
      </w:pPr>
      <w:r>
        <w:rPr>
          <w:rFonts w:ascii="微软雅黑" w:hAnsi="微软雅黑" w:eastAsia="微软雅黑"/>
          <w:b w:val="0"/>
          <w:sz w:val="18"/>
        </w:rPr>
        <w:t>2. **食品价格**：全球食品价格因恶劣天气上涨，叠加国内干旱影响农产品供应。</w:t>
      </w:r>
    </w:p>
    <w:p>
      <w:pPr>
        <w:spacing w:before="0" w:after="40" w:line="360" w:lineRule="auto"/>
      </w:pPr>
      <w:r>
        <w:rPr>
          <w:rFonts w:ascii="微软雅黑" w:hAnsi="微软雅黑" w:eastAsia="微软雅黑"/>
          <w:b w:val="0"/>
          <w:sz w:val="18"/>
        </w:rPr>
        <w:t>3. **服务业通胀粘性**：服务部门通胀4.4%高于核心通胀，反映工资上涨的二次传导效应。</w:t>
      </w:r>
    </w:p>
    <w:p>
      <w:pPr>
        <w:spacing w:before="0" w:after="40" w:line="360" w:lineRule="auto"/>
      </w:pPr>
      <w:r>
        <w:rPr>
          <w:rFonts w:ascii="微软雅黑" w:hAnsi="微软雅黑" w:eastAsia="微软雅黑"/>
          <w:b w:val="0"/>
          <w:sz w:val="18"/>
        </w:rPr>
        <w:t>4. **汇率传递**：拉里在2026年1–7月升值2.5%（对美元），部分抵消了进口通胀压力。</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结构性特征</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进口商品价格通胀加速至6.1%（6月），混合商品通胀6.2%</w:t>
      </w:r>
    </w:p>
    <w:p>
      <w:pPr>
        <w:spacing w:before="0" w:after="40" w:line="360" w:lineRule="auto"/>
      </w:pPr>
      <w:r>
        <w:rPr>
          <w:rFonts w:ascii="微软雅黑" w:hAnsi="微软雅黑" w:eastAsia="微软雅黑"/>
          <w:b w:val="0"/>
          <w:sz w:val="18"/>
        </w:rPr>
        <w:t>国内通胀从6.0%降至5.7%，表明本土需求压力可控</w:t>
      </w:r>
    </w:p>
    <w:p>
      <w:pPr>
        <w:spacing w:before="0" w:after="40" w:line="360" w:lineRule="auto"/>
      </w:pPr>
      <w:r>
        <w:rPr>
          <w:rFonts w:ascii="微软雅黑" w:hAnsi="微软雅黑" w:eastAsia="微软雅黑"/>
          <w:b w:val="0"/>
          <w:sz w:val="18"/>
        </w:rPr>
        <w:t>核心通胀（3.2%）已接近3%目标区间，但服务通胀呈上升趋势</w:t>
      </w:r>
    </w:p>
    <w:p>
      <w:pPr>
        <w:spacing w:before="120" w:after="60" w:line="360" w:lineRule="auto"/>
      </w:pPr>
      <w:r>
        <w:rPr>
          <w:rFonts w:ascii="黑体" w:hAnsi="黑体" w:eastAsia="黑体"/>
          <w:b/>
          <w:color w:val="1A237E"/>
          <w:sz w:val="20"/>
        </w:rPr>
        <w:t>4.2 货币政策框架</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政策利率路径</w:t>
      </w:r>
    </w:p>
    <w:p>
      <w:pPr>
        <w:spacing w:before="0" w:after="80" w:line="360" w:lineRule="auto"/>
      </w:pPr>
      <w:r>
        <w:rPr>
          <w:rFonts w:ascii="微软雅黑" w:hAnsi="微软雅黑" w:eastAsia="微软雅黑"/>
          <w:b w:val="0"/>
          <w:sz w:val="18"/>
        </w:rPr>
        <w:t>：</w:t>
      </w:r>
    </w:p>
    <w:tbl>
      <w:tblPr>
        <w:tblStyle w:val="TableGrid"/>
        <w:tblW w:type="auto" w:w="0"/>
        <w:jc w:val="center"/>
        <w:tblLook w:firstColumn="1" w:firstRow="1" w:lastColumn="0" w:lastRow="0" w:noHBand="0" w:noVBand="1" w:val="04A0"/>
      </w:tblPr>
      <w:tblGrid>
        <w:gridCol w:w="3213"/>
        <w:gridCol w:w="3213"/>
        <w:gridCol w:w="3213"/>
      </w:tblGrid>
      <w:tr>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时间</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利率决议</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备注</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2024年5月</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8.00%</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开始收紧周期</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2026年5月</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+25bp → 8.25%</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应对中东冲突冲击</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2026年6月</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维持8.25%</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首次按兵不动</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2026年7月</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维持8.25%</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连续第三次维持</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2026年9月（预期）</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维持8.25%</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市场普遍预期</w:t>
            </w:r>
          </w:p>
        </w:tc>
      </w:tr>
    </w:tbl>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货币政策立场解读</w:t>
      </w:r>
    </w:p>
    <w:p>
      <w:pPr>
        <w:spacing w:before="0" w:after="80" w:line="360" w:lineRule="auto"/>
      </w:pPr>
      <w:r>
        <w:rPr>
          <w:rFonts w:ascii="微软雅黑" w:hAnsi="微软雅黑" w:eastAsia="微软雅黑"/>
          <w:b w:val="0"/>
          <w:sz w:val="18"/>
        </w:rPr>
        <w:t>：</w:t>
      </w:r>
    </w:p>
    <w:p>
      <w:pPr>
        <w:spacing w:before="0" w:after="80" w:line="360" w:lineRule="auto"/>
      </w:pPr>
      <w:r>
        <w:rPr>
          <w:rFonts w:ascii="微软雅黑" w:hAnsi="微软雅黑" w:eastAsia="微软雅黑"/>
          <w:b w:val="0"/>
          <w:sz w:val="18"/>
        </w:rPr>
        <w:t>NBG在2026年7月29日的声明中明确表示：</w:t>
      </w:r>
    </w:p>
    <w:p>
      <w:pPr>
        <w:spacing w:before="0" w:after="40" w:line="360" w:lineRule="auto"/>
      </w:pPr>
      <w:r>
        <w:rPr>
          <w:rFonts w:ascii="微软雅黑" w:hAnsi="微软雅黑" w:eastAsia="微软雅黑"/>
          <w:b w:val="0"/>
          <w:sz w:val="18"/>
        </w:rPr>
        <w:t>当前8.25%利率代表"适度紧缩"立场</w:t>
      </w:r>
    </w:p>
    <w:p>
      <w:pPr>
        <w:spacing w:before="0" w:after="40" w:line="360" w:lineRule="auto"/>
      </w:pPr>
      <w:r>
        <w:rPr>
          <w:rFonts w:ascii="微软雅黑" w:hAnsi="微软雅黑" w:eastAsia="微软雅黑"/>
          <w:b w:val="0"/>
          <w:sz w:val="18"/>
        </w:rPr>
        <w:t>通胀回升主要由供给端冲击（能源价格）驱动，而非需求过热</w:t>
      </w:r>
    </w:p>
    <w:p>
      <w:pPr>
        <w:spacing w:before="0" w:after="40" w:line="360" w:lineRule="auto"/>
      </w:pPr>
      <w:r>
        <w:rPr>
          <w:rFonts w:ascii="微软雅黑" w:hAnsi="微软雅黑" w:eastAsia="微软雅黑"/>
          <w:b w:val="0"/>
          <w:sz w:val="18"/>
        </w:rPr>
        <w:t>核心通胀接近目标，二次传导风险"目前可控"</w:t>
      </w:r>
    </w:p>
    <w:p>
      <w:pPr>
        <w:spacing w:before="0" w:after="40" w:line="360" w:lineRule="auto"/>
      </w:pPr>
      <w:r>
        <w:rPr>
          <w:rFonts w:ascii="微软雅黑" w:hAnsi="微软雅黑" w:eastAsia="微软雅黑"/>
          <w:b w:val="0"/>
          <w:sz w:val="18"/>
        </w:rPr>
        <w:t>经济韧性较强，增速超出预期</w:t>
      </w:r>
    </w:p>
    <w:p>
      <w:pPr>
        <w:spacing w:before="0" w:after="40" w:line="360" w:lineRule="auto"/>
      </w:pPr>
      <w:r>
        <w:rPr>
          <w:rFonts w:ascii="微软雅黑" w:hAnsi="微软雅黑" w:eastAsia="微软雅黑"/>
          <w:b w:val="0"/>
          <w:sz w:val="18"/>
        </w:rPr>
        <w:t>如果通胀风险加剧，准备进一步加息</w:t>
      </w:r>
    </w:p>
    <w:p>
      <w:pPr>
        <w:spacing w:before="0" w:after="40" w:line="360" w:lineRule="auto"/>
      </w:pPr>
      <w:r>
        <w:rPr>
          <w:rFonts w:ascii="微软雅黑" w:hAnsi="微软雅黑" w:eastAsia="微软雅黑"/>
          <w:b w:val="0"/>
          <w:sz w:val="18"/>
        </w:rPr>
        <w:t>一旦供给冲击消退，将开始渐进宽松</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情景分析</w:t>
      </w:r>
    </w:p>
    <w:p>
      <w:pPr>
        <w:spacing w:before="0" w:after="80" w:line="360" w:lineRule="auto"/>
      </w:pPr>
      <w:r>
        <w:rPr>
          <w:rFonts w:ascii="微软雅黑" w:hAnsi="微软雅黑" w:eastAsia="微软雅黑"/>
          <w:b w:val="0"/>
          <w:sz w:val="18"/>
        </w:rPr>
        <w:t>：</w:t>
      </w:r>
    </w:p>
    <w:p>
      <w:pPr>
        <w:spacing w:before="0" w:after="80" w:line="360" w:lineRule="auto"/>
      </w:pPr>
      <w:r>
        <w:rPr>
          <w:rFonts w:ascii="微软雅黑" w:hAnsi="微软雅黑" w:eastAsia="微软雅黑"/>
          <w:b w:val="0"/>
          <w:sz w:val="18"/>
        </w:rPr>
        <w:t>NBG设定了三种情景：</w:t>
      </w:r>
    </w:p>
    <w:p>
      <w:pPr>
        <w:spacing w:before="0" w:after="40" w:line="360" w:lineRule="auto"/>
      </w:pPr>
      <w:r>
        <w:rPr>
          <w:rFonts w:ascii="微软雅黑" w:hAnsi="微软雅黑" w:eastAsia="微软雅黑"/>
          <w:b w:val="0"/>
          <w:sz w:val="18"/>
        </w:rPr>
        <w:t>1. **基准情景**（概率最高）：中东冲突早期缓和，能源价格回落，2026年平均通胀5.2%，下半年逐月下降，2027年中回归3%目标。利率维持8.25%至年底，2027年Q2开始降息。</w:t>
      </w:r>
    </w:p>
    <w:p>
      <w:pPr>
        <w:spacing w:before="0" w:after="40" w:line="360" w:lineRule="auto"/>
      </w:pPr>
      <w:r>
        <w:rPr>
          <w:rFonts w:ascii="微软雅黑" w:hAnsi="微软雅黑" w:eastAsia="微软雅黑"/>
          <w:b w:val="0"/>
          <w:sz w:val="18"/>
        </w:rPr>
        <w:t>2. **高通胀情景**：冲突持续升级→能源价格进一步上涨+食品价格恶化→通胀突破6%→利率可能再加息25–50bp。</w:t>
      </w:r>
    </w:p>
    <w:p>
      <w:pPr>
        <w:spacing w:before="0" w:after="40" w:line="360" w:lineRule="auto"/>
      </w:pPr>
      <w:r>
        <w:rPr>
          <w:rFonts w:ascii="微软雅黑" w:hAnsi="微软雅黑" w:eastAsia="微软雅黑"/>
          <w:b w:val="0"/>
          <w:sz w:val="18"/>
        </w:rPr>
        <w:t>3. **低通胀情景**：冲突迅速解决→能源价格急跌→美元走弱→进口通胀快速回落→利率可能提前降息。</w:t>
      </w:r>
    </w:p>
    <w:p>
      <w:pPr>
        <w:spacing w:before="120" w:after="60" w:line="360" w:lineRule="auto"/>
      </w:pPr>
      <w:r>
        <w:rPr>
          <w:rFonts w:ascii="黑体" w:hAnsi="黑体" w:eastAsia="黑体"/>
          <w:b/>
          <w:color w:val="1A237E"/>
          <w:sz w:val="20"/>
        </w:rPr>
        <w:t>4.3 汇率与储备</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拉里走势</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2026年1–7月平均：约2.66 GEL/USD</w:t>
      </w:r>
    </w:p>
    <w:p>
      <w:pPr>
        <w:spacing w:before="0" w:after="40" w:line="360" w:lineRule="auto"/>
      </w:pPr>
      <w:r>
        <w:rPr>
          <w:rFonts w:ascii="微软雅黑" w:hAnsi="微软雅黑" w:eastAsia="微软雅黑"/>
          <w:b w:val="0"/>
          <w:sz w:val="18"/>
        </w:rPr>
        <w:t>7月末：约2.63 GEL/USD（升值0.7% MoM）</w:t>
      </w:r>
    </w:p>
    <w:p>
      <w:pPr>
        <w:spacing w:before="0" w:after="40" w:line="360" w:lineRule="auto"/>
      </w:pPr>
      <w:r>
        <w:rPr>
          <w:rFonts w:ascii="微软雅黑" w:hAnsi="微软雅黑" w:eastAsia="微软雅黑"/>
          <w:b w:val="0"/>
          <w:sz w:val="18"/>
        </w:rPr>
        <w:t>实际有效汇率（NEER）：同比升值1.9%</w:t>
      </w:r>
    </w:p>
    <w:p>
      <w:pPr>
        <w:spacing w:before="0" w:after="40" w:line="360" w:lineRule="auto"/>
      </w:pPr>
      <w:r>
        <w:rPr>
          <w:rFonts w:ascii="微软雅黑" w:hAnsi="微软雅黑" w:eastAsia="微软雅黑"/>
          <w:b w:val="0"/>
          <w:sz w:val="18"/>
        </w:rPr>
        <w:t>实际有效汇率（REER）：2月仍低于去年同期1.7%，价格竞争力略有改善</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外汇储备</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2026年3月末：63亿美元</w:t>
      </w:r>
    </w:p>
    <w:p>
      <w:pPr>
        <w:spacing w:before="0" w:after="40" w:line="360" w:lineRule="auto"/>
      </w:pPr>
      <w:r>
        <w:rPr>
          <w:rFonts w:ascii="微软雅黑" w:hAnsi="微软雅黑" w:eastAsia="微软雅黑"/>
          <w:b w:val="0"/>
          <w:sz w:val="18"/>
        </w:rPr>
        <w:t>2026年7月末：**75亿美元**（历史新高）</w:t>
      </w:r>
    </w:p>
    <w:p>
      <w:pPr>
        <w:spacing w:before="0" w:after="40" w:line="360" w:lineRule="auto"/>
      </w:pPr>
      <w:r>
        <w:rPr>
          <w:rFonts w:ascii="微软雅黑" w:hAnsi="微软雅黑" w:eastAsia="微软雅黑"/>
          <w:b w:val="0"/>
          <w:sz w:val="18"/>
        </w:rPr>
        <w:t>同比增长50%</w:t>
      </w:r>
    </w:p>
    <w:p>
      <w:pPr>
        <w:spacing w:before="0" w:after="40" w:line="360" w:lineRule="auto"/>
      </w:pPr>
      <w:r>
        <w:rPr>
          <w:rFonts w:ascii="微软雅黑" w:hAnsi="微软雅黑" w:eastAsia="微软雅黑"/>
          <w:b w:val="0"/>
          <w:sz w:val="18"/>
        </w:rPr>
        <w:t>进口覆盖约4.5个月</w:t>
      </w:r>
    </w:p>
    <w:p>
      <w:pPr>
        <w:spacing w:before="0" w:after="40" w:line="360" w:lineRule="auto"/>
      </w:pPr>
      <w:r>
        <w:rPr>
          <w:rFonts w:ascii="微软雅黑" w:hAnsi="微软雅黑" w:eastAsia="微软雅黑"/>
          <w:b w:val="0"/>
          <w:sz w:val="18"/>
        </w:rPr>
        <w:t>达到IMF adequacy threshold以上</w:t>
      </w:r>
    </w:p>
    <w:p>
      <w:pPr>
        <w:spacing w:before="0" w:after="80" w:line="360" w:lineRule="auto"/>
      </w:pPr>
      <w:r>
        <w:rPr>
          <w:rFonts w:ascii="微软雅黑" w:hAnsi="微软雅黑" w:eastAsia="微软雅黑"/>
          <w:b w:val="0"/>
          <w:sz w:val="18"/>
        </w:rPr>
        <w:t>储备积累主要来自：NBG外汇市场干预（2026年6月单日购买6.126亿美元）、汇款流入、FDI流入。</w:t>
      </w:r>
    </w:p>
    <w:p/>
    <w:p>
      <w:pPr>
        <w:spacing w:before="160" w:after="80" w:line="360" w:lineRule="auto"/>
      </w:pPr>
      <w:r>
        <w:rPr>
          <w:rFonts w:ascii="黑体" w:hAnsi="黑体" w:eastAsia="黑体"/>
          <w:b/>
          <w:color w:val="1A237E"/>
          <w:sz w:val="22"/>
        </w:rPr>
        <w:t>第五章 财政状况分析</w:t>
      </w:r>
    </w:p>
    <w:p>
      <w:pPr>
        <w:spacing w:before="120" w:after="60" w:line="360" w:lineRule="auto"/>
      </w:pPr>
      <w:r>
        <w:rPr>
          <w:rFonts w:ascii="黑体" w:hAnsi="黑体" w:eastAsia="黑体"/>
          <w:b/>
          <w:color w:val="1A237E"/>
          <w:sz w:val="20"/>
        </w:rPr>
        <w:t>5.1 2026年预算框架</w:t>
      </w:r>
    </w:p>
    <w:p>
      <w:pPr>
        <w:spacing w:before="0" w:after="80" w:line="360" w:lineRule="auto"/>
      </w:pPr>
      <w:r>
        <w:rPr>
          <w:rFonts w:ascii="微软雅黑" w:hAnsi="微软雅黑" w:eastAsia="微软雅黑"/>
          <w:b w:val="0"/>
          <w:sz w:val="18"/>
        </w:rPr>
        <w:t>2026年国家预算基于5% GDP增长假设（已明显低于实际7.9%），通胀3.3%，赤字率2.5%，公共债务33.5% GDP。</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预算项目</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金额（GEL亿）</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占GDP比</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备注</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总收入</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308.0</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26.6%</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较2025年增长1.6%</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其中：税收收入</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237.0</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同比增长6%</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增值税（VAT）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同比增长7.5%</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个人所得税</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同比增长11.6%</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企业所得税</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消费税</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低于通胀预期</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总支出</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309.0</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28.9%</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其中：社会保障</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&gt;50.0</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养老金支出，+9.6%</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基础设施</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31.0</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含15亿公路投资</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资本支出</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7.1%</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同比↓3.63亿</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财政赤字</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2.5% GDP</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符合法律规定</w:t>
            </w:r>
          </w:p>
        </w:tc>
      </w:tr>
    </w:tbl>
    <w:p>
      <w:pPr>
        <w:spacing w:before="120" w:after="60" w:line="360" w:lineRule="auto"/>
      </w:pPr>
      <w:r>
        <w:rPr>
          <w:rFonts w:ascii="黑体" w:hAnsi="黑体" w:eastAsia="黑体"/>
          <w:b/>
          <w:color w:val="1A237E"/>
          <w:sz w:val="20"/>
        </w:rPr>
        <w:t>5.2 上半年预算执行</w:t>
      </w:r>
    </w:p>
    <w:p>
      <w:pPr>
        <w:spacing w:before="0" w:after="80" w:line="360" w:lineRule="auto"/>
      </w:pPr>
      <w:r>
        <w:rPr>
          <w:rFonts w:ascii="微软雅黑" w:hAnsi="微软雅黑" w:eastAsia="微软雅黑"/>
          <w:b w:val="0"/>
          <w:sz w:val="18"/>
        </w:rPr>
        <w:t>2026年1–6月预算执行情况：</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指标</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实际值</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计划值</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完成率</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合并预算收入</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150.87亿GEL</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**104%**</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税收收入</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133.03亿GEL</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**101.9%**</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国家预算收入</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125.15亿GEL</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**103%**</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支出执行率</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140.54亿GEL</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92%</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占年度计划比</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50.1%</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50%</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略超预期</w:t>
            </w:r>
          </w:p>
        </w:tc>
      </w:tr>
    </w:tbl>
    <w:p>
      <w:pPr>
        <w:spacing w:before="0" w:after="80" w:line="360" w:lineRule="auto"/>
      </w:pPr>
      <w:r>
        <w:rPr>
          <w:rFonts w:ascii="微软雅黑" w:hAnsi="微软雅黑" w:eastAsia="微软雅黑"/>
          <w:b w:val="0"/>
          <w:sz w:val="18"/>
        </w:rPr>
        <w:t>税收超额完成印证了经济活动的实际热度远超预算假设。VAT超收尤为显著，反映消费活力。</w:t>
      </w:r>
    </w:p>
    <w:p>
      <w:pPr>
        <w:spacing w:before="120" w:after="60" w:line="360" w:lineRule="auto"/>
      </w:pPr>
      <w:r>
        <w:rPr>
          <w:rFonts w:ascii="黑体" w:hAnsi="黑体" w:eastAsia="黑体"/>
          <w:b/>
          <w:color w:val="1A237E"/>
          <w:sz w:val="20"/>
        </w:rPr>
        <w:t>5.3 债务可持续性</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指标</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2025年末</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2026年中</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2026年末目标</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公共债务/GDP</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34.7%</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~34%</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33.5%</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其中：外债</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23.1%</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~22%</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21.7%</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其中：内债</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11.1%</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~12%</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11.8%</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债务服务成本/GDP</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约1.7%</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r>
    </w:tbl>
    <w:p>
      <w:pPr>
        <w:spacing w:before="0" w:after="80" w:line="360" w:lineRule="auto"/>
      </w:pPr>
      <w:r>
        <w:rPr>
          <w:rFonts w:ascii="微软雅黑" w:hAnsi="微软雅黑" w:eastAsia="微软雅黑"/>
          <w:b w:val="0"/>
          <w:sz w:val="18"/>
        </w:rPr>
        <w:t>债务结构特征：三分之二为外币计价债务，以欧元和美元为主。2026年1月成功以5亿美元Eurobond再融资，体现了国际投资者对格鲁吉亚的信心。S&amp;P维持BB/B评级，展望稳定。</w:t>
      </w:r>
    </w:p>
    <w:p>
      <w:pPr>
        <w:spacing w:before="0" w:after="80" w:line="360" w:lineRule="auto"/>
      </w:pPr>
      <w:r>
        <w:rPr>
          <w:rFonts w:ascii="微软雅黑" w:hAnsi="微软雅黑" w:eastAsia="微软雅黑"/>
          <w:b w:val="0"/>
          <w:sz w:val="18"/>
        </w:rPr>
        <w:t>国际审计署（SAO）警告：国有企业是主要财政风险来源，2024年国企合计亏损1.38亿GEL，资产高度依赖负债融资。利率上升环境下债务服务成本持续增加，构成财政压力。</w:t>
      </w:r>
    </w:p>
    <w:p>
      <w:pPr>
        <w:spacing w:before="120" w:after="60" w:line="360" w:lineRule="auto"/>
      </w:pPr>
      <w:r>
        <w:rPr>
          <w:rFonts w:ascii="黑体" w:hAnsi="黑体" w:eastAsia="黑体"/>
          <w:b/>
          <w:color w:val="1A237E"/>
          <w:sz w:val="20"/>
        </w:rPr>
        <w:t>5.4 支出结构与社会政策</w:t>
      </w:r>
    </w:p>
    <w:p>
      <w:pPr>
        <w:spacing w:before="0" w:after="80" w:line="360" w:lineRule="auto"/>
      </w:pPr>
      <w:r>
        <w:rPr>
          <w:rFonts w:ascii="微软雅黑" w:hAnsi="微软雅黑" w:eastAsia="微软雅黑"/>
          <w:b w:val="0"/>
          <w:sz w:val="18"/>
        </w:rPr>
        <w:t>社会保障是最大的单项支出，超过教育+国防预算之和。2026年养老金支出50亿GEL，较2025年增长5.17亿：</w:t>
      </w:r>
    </w:p>
    <w:p>
      <w:pPr>
        <w:spacing w:before="0" w:after="40" w:line="360" w:lineRule="auto"/>
      </w:pPr>
      <w:r>
        <w:rPr>
          <w:rFonts w:ascii="微软雅黑" w:hAnsi="微软雅黑" w:eastAsia="微软雅黑"/>
          <w:b w:val="0"/>
          <w:sz w:val="18"/>
        </w:rPr>
        <w:t>70岁以下养老金：370 GEL/月（+20 GEL）</w:t>
      </w:r>
    </w:p>
    <w:p>
      <w:pPr>
        <w:spacing w:before="0" w:after="40" w:line="360" w:lineRule="auto"/>
      </w:pPr>
      <w:r>
        <w:rPr>
          <w:rFonts w:ascii="微软雅黑" w:hAnsi="微软雅黑" w:eastAsia="微软雅黑"/>
          <w:b w:val="0"/>
          <w:sz w:val="18"/>
        </w:rPr>
        <w:t>70岁以上养老金：495 GEL/月（+45 GEL）</w:t>
      </w:r>
    </w:p>
    <w:p>
      <w:pPr>
        <w:spacing w:before="0" w:after="40" w:line="360" w:lineRule="auto"/>
      </w:pPr>
      <w:r>
        <w:rPr>
          <w:rFonts w:ascii="微软雅黑" w:hAnsi="微软雅黑" w:eastAsia="微软雅黑"/>
          <w:b w:val="0"/>
          <w:sz w:val="18"/>
        </w:rPr>
        <w:t>高地地区20%附加补贴自动上调</w:t>
      </w:r>
    </w:p>
    <w:p>
      <w:pPr>
        <w:spacing w:before="0" w:after="80" w:line="360" w:lineRule="auto"/>
      </w:pPr>
      <w:r>
        <w:rPr>
          <w:rFonts w:ascii="微软雅黑" w:hAnsi="微软雅黑" w:eastAsia="微软雅黑"/>
          <w:b w:val="0"/>
          <w:sz w:val="18"/>
        </w:rPr>
        <w:t>政府预计2026年新发债务51亿GEL（国内34亿+国外17亿），偿还债务29亿GEL，净融资需求约22亿GEL。</w:t>
      </w:r>
    </w:p>
    <w:p/>
    <w:p>
      <w:pPr>
        <w:spacing w:before="160" w:after="80" w:line="360" w:lineRule="auto"/>
      </w:pPr>
      <w:r>
        <w:rPr>
          <w:rFonts w:ascii="黑体" w:hAnsi="黑体" w:eastAsia="黑体"/>
          <w:b/>
          <w:color w:val="1A237E"/>
          <w:sz w:val="22"/>
        </w:rPr>
        <w:t>第六章 外贸与经常账户</w:t>
      </w:r>
    </w:p>
    <w:p>
      <w:pPr>
        <w:spacing w:before="120" w:after="60" w:line="360" w:lineRule="auto"/>
      </w:pPr>
      <w:r>
        <w:rPr>
          <w:rFonts w:ascii="黑体" w:hAnsi="黑体" w:eastAsia="黑体"/>
          <w:b/>
          <w:color w:val="1A237E"/>
          <w:sz w:val="20"/>
        </w:rPr>
        <w:t>6.1 贸易格局</w:t>
      </w:r>
    </w:p>
    <w:p>
      <w:pPr>
        <w:spacing w:before="0" w:after="80" w:line="360" w:lineRule="auto"/>
      </w:pPr>
      <w:r>
        <w:rPr>
          <w:rFonts w:ascii="微软雅黑" w:hAnsi="微软雅黑" w:eastAsia="微软雅黑"/>
          <w:b w:val="0"/>
          <w:sz w:val="18"/>
        </w:rPr>
        <w:t>2026年上半年商品贸易总额129.25亿美元，同比增长5.8%：</w:t>
      </w:r>
    </w:p>
    <w:tbl>
      <w:tblPr>
        <w:tblStyle w:val="TableGrid"/>
        <w:tblW w:type="auto" w:w="0"/>
        <w:jc w:val="center"/>
        <w:tblLook w:firstColumn="1" w:firstRow="1" w:lastColumn="0" w:lastRow="0" w:noHBand="0" w:noVBand="1" w:val="04A0"/>
      </w:tblPr>
      <w:tblGrid>
        <w:gridCol w:w="3213"/>
        <w:gridCol w:w="3213"/>
        <w:gridCol w:w="3213"/>
      </w:tblGrid>
      <w:tr>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贸易伙伴</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占比</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备注</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欧盟</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20.1%</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最大伙伴，FTA框架优势</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土耳其</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12.8%</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区域重要市场</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俄罗斯</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11.8%</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传统伙伴，影响力下降</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中国</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11.6%</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快速增长的新兴伙伴</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美国</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8.4%</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汽车转口核心来源地</w:t>
            </w:r>
          </w:p>
        </w:tc>
      </w:tr>
    </w:tbl>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出口结构</w:t>
      </w:r>
    </w:p>
    <w:p>
      <w:pPr>
        <w:spacing w:before="0" w:after="80" w:line="360" w:lineRule="auto"/>
      </w:pPr>
      <w:r>
        <w:rPr>
          <w:rFonts w:ascii="微软雅黑" w:hAnsi="微软雅黑" w:eastAsia="微软雅黑"/>
          <w:b w:val="0"/>
          <w:sz w:val="18"/>
        </w:rPr>
        <w:t>（2026H1）：</w:t>
      </w:r>
    </w:p>
    <w:p>
      <w:pPr>
        <w:spacing w:before="0" w:after="40" w:line="360" w:lineRule="auto"/>
      </w:pPr>
      <w:r>
        <w:rPr>
          <w:rFonts w:ascii="微软雅黑" w:hAnsi="微软雅黑" w:eastAsia="微软雅黑"/>
          <w:b w:val="0"/>
          <w:sz w:val="18"/>
        </w:rPr>
        <w:t>汽车：38.8亿美元（占比24.2%），主要为美国二手车转口</w:t>
      </w:r>
    </w:p>
    <w:p>
      <w:pPr>
        <w:spacing w:before="0" w:after="40" w:line="360" w:lineRule="auto"/>
      </w:pPr>
      <w:r>
        <w:rPr>
          <w:rFonts w:ascii="微软雅黑" w:hAnsi="微软雅黑" w:eastAsia="微软雅黑"/>
          <w:b w:val="0"/>
          <w:sz w:val="18"/>
        </w:rPr>
        <w:t>石油及石油产品：9.7亿美元</w:t>
      </w:r>
    </w:p>
    <w:p>
      <w:pPr>
        <w:spacing w:before="0" w:after="40" w:line="360" w:lineRule="auto"/>
      </w:pPr>
      <w:r>
        <w:rPr>
          <w:rFonts w:ascii="微软雅黑" w:hAnsi="微软雅黑" w:eastAsia="微软雅黑"/>
          <w:b w:val="0"/>
          <w:sz w:val="18"/>
        </w:rPr>
        <w:t>其他制成品和服务出口稳步增长</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进口结构</w:t>
      </w:r>
    </w:p>
    <w:p>
      <w:pPr>
        <w:spacing w:before="0" w:after="80" w:line="360" w:lineRule="auto"/>
      </w:pPr>
      <w:r>
        <w:rPr>
          <w:rFonts w:ascii="微软雅黑" w:hAnsi="微软雅黑" w:eastAsia="微软雅黑"/>
          <w:b w:val="0"/>
          <w:sz w:val="18"/>
        </w:rPr>
        <w:t>：机械设备、交通工具、燃料、食品、药品。进口仅增长0.7%，反映能源价格高企下的被动压缩。</w:t>
      </w:r>
    </w:p>
    <w:p>
      <w:pPr>
        <w:spacing w:before="120" w:after="60" w:line="360" w:lineRule="auto"/>
      </w:pPr>
      <w:r>
        <w:rPr>
          <w:rFonts w:ascii="黑体" w:hAnsi="黑体" w:eastAsia="黑体"/>
          <w:b/>
          <w:color w:val="1A237E"/>
          <w:sz w:val="20"/>
        </w:rPr>
        <w:t>6.2 经常账户</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指标</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2024年</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2025年</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2026H1</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经常账户赤字/GDP</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4.6%</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&lt;3.0%</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服务出口增速</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旅游收入</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44亿美元（2025）</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19.3亿美元（H1）</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汇款净流入</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+11%（16.9亿美元）</w:t>
            </w:r>
          </w:p>
        </w:tc>
      </w:tr>
    </w:tbl>
    <w:p>
      <w:pPr>
        <w:spacing w:before="0" w:after="80" w:line="360" w:lineRule="auto"/>
      </w:pPr>
      <w:r>
        <w:rPr>
          <w:rFonts w:ascii="微软雅黑" w:hAnsi="微软雅黑" w:eastAsia="微软雅黑"/>
          <w:b w:val="0"/>
          <w:sz w:val="18"/>
        </w:rPr>
        <w:t>经常账户赤字在2025年收窄至历史低位的3%以下，主要得益于服务出口强劲和汇款增长。但2026年上半年旅游收入下降2%（中东冲突影响游客），需关注后续走势。</w:t>
      </w:r>
    </w:p>
    <w:p>
      <w:pPr>
        <w:spacing w:before="120" w:after="60" w:line="360" w:lineRule="auto"/>
      </w:pPr>
      <w:r>
        <w:rPr>
          <w:rFonts w:ascii="黑体" w:hAnsi="黑体" w:eastAsia="黑体"/>
          <w:b/>
          <w:color w:val="1A237E"/>
          <w:sz w:val="20"/>
        </w:rPr>
        <w:t>6.3 旅游业</w:t>
      </w:r>
    </w:p>
    <w:p>
      <w:pPr>
        <w:spacing w:before="0" w:after="80" w:line="360" w:lineRule="auto"/>
      </w:pPr>
      <w:r>
        <w:rPr>
          <w:rFonts w:ascii="微软雅黑" w:hAnsi="微软雅黑" w:eastAsia="微软雅黑"/>
          <w:b w:val="0"/>
          <w:sz w:val="18"/>
        </w:rPr>
        <w:t>旅游业是服务出口的核心支柱。2026年上半年入境国际游客273.4万人次，但旅游收入19.3亿美元，同比减少3930万美元（-2%）。原因：</w:t>
      </w:r>
    </w:p>
    <w:p>
      <w:pPr>
        <w:spacing w:before="0" w:after="40" w:line="360" w:lineRule="auto"/>
      </w:pPr>
      <w:r>
        <w:rPr>
          <w:rFonts w:ascii="微软雅黑" w:hAnsi="微软雅黑" w:eastAsia="微软雅黑"/>
          <w:b w:val="0"/>
          <w:sz w:val="18"/>
        </w:rPr>
        <w:t>中东冲突导致来自该地区的游客减少</w:t>
      </w:r>
    </w:p>
    <w:p>
      <w:pPr>
        <w:spacing w:before="0" w:after="40" w:line="360" w:lineRule="auto"/>
      </w:pPr>
      <w:r>
        <w:rPr>
          <w:rFonts w:ascii="微软雅黑" w:hAnsi="微软雅黑" w:eastAsia="微软雅黑"/>
          <w:b w:val="0"/>
          <w:sz w:val="18"/>
        </w:rPr>
        <w:t>欧盟游客增长部分抵消，但不足以弥补</w:t>
      </w:r>
    </w:p>
    <w:p>
      <w:pPr>
        <w:spacing w:before="0" w:after="40" w:line="360" w:lineRule="auto"/>
      </w:pPr>
      <w:r>
        <w:rPr>
          <w:rFonts w:ascii="微软雅黑" w:hAnsi="微软雅黑" w:eastAsia="微软雅黑"/>
          <w:b w:val="0"/>
          <w:sz w:val="18"/>
        </w:rPr>
        <w:t>平均停留天数和消费强度下降</w:t>
      </w:r>
    </w:p>
    <w:p>
      <w:pPr>
        <w:spacing w:before="0" w:after="80" w:line="360" w:lineRule="auto"/>
      </w:pPr>
      <w:r>
        <w:rPr>
          <w:rFonts w:ascii="微软雅黑" w:hAnsi="微软雅黑" w:eastAsia="微软雅黑"/>
          <w:b w:val="0"/>
          <w:sz w:val="18"/>
        </w:rPr>
        <w:t>2025年全年旅游收入约44亿美元（+6% YoY），创历史新高。2026年预计全年约46–49亿美元，取决于冲突走向。</w:t>
      </w:r>
    </w:p>
    <w:p/>
    <w:p>
      <w:pPr>
        <w:spacing w:before="160" w:after="80" w:line="360" w:lineRule="auto"/>
      </w:pPr>
      <w:r>
        <w:rPr>
          <w:rFonts w:ascii="黑体" w:hAnsi="黑体" w:eastAsia="黑体"/>
          <w:b/>
          <w:color w:val="1A237E"/>
          <w:sz w:val="22"/>
        </w:rPr>
        <w:t>第七章 金融市场与银行体系</w:t>
      </w:r>
    </w:p>
    <w:p>
      <w:pPr>
        <w:spacing w:before="120" w:after="60" w:line="360" w:lineRule="auto"/>
      </w:pPr>
      <w:r>
        <w:rPr>
          <w:rFonts w:ascii="黑体" w:hAnsi="黑体" w:eastAsia="黑体"/>
          <w:b/>
          <w:color w:val="1A237E"/>
          <w:sz w:val="20"/>
        </w:rPr>
        <w:t>7.1 银行体系稳健性</w:t>
      </w:r>
    </w:p>
    <w:p>
      <w:pPr>
        <w:spacing w:before="0" w:after="80" w:line="360" w:lineRule="auto"/>
      </w:pPr>
      <w:r>
        <w:rPr>
          <w:rFonts w:ascii="微软雅黑" w:hAnsi="微软雅黑" w:eastAsia="微软雅黑"/>
          <w:b w:val="0"/>
          <w:sz w:val="18"/>
        </w:rPr>
        <w:t>2026年2月NBG数据显示：</w:t>
      </w:r>
    </w:p>
    <w:tbl>
      <w:tblPr>
        <w:tblStyle w:val="TableGrid"/>
        <w:tblW w:type="auto" w:w="0"/>
        <w:jc w:val="center"/>
        <w:tblLook w:firstColumn="1" w:firstRow="1" w:lastColumn="0" w:lastRow="0" w:noHBand="0" w:noVBand="1" w:val="04A0"/>
      </w:tblPr>
      <w:tblGrid>
        <w:gridCol w:w="3213"/>
        <w:gridCol w:w="3213"/>
        <w:gridCol w:w="3213"/>
      </w:tblGrid>
      <w:tr>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指标</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数值</w:t>
            </w:r>
          </w:p>
        </w:tc>
        <w:tc>
          <w:tcPr>
            <w:tcW w:type="dxa" w:w="3213"/>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评价</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不良贷款率（NPL）</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2.47%</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历史低位</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资本充足率（Tier 1）</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&gt;15%</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远高于监管要求</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流动性覆盖率</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&gt;100%</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充足</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净资产收益率（ROE）</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22.4%</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区域领先</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资产收益率（ROA）</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3.5–3.9%</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稳健</w:t>
            </w:r>
          </w:p>
        </w:tc>
      </w:tr>
      <w:tr>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信用组合增速</w:t>
            </w:r>
          </w:p>
        </w:tc>
        <w:tc>
          <w:tcPr>
            <w:tcW w:type="dxa" w:w="3213"/>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14.3%</w:t>
            </w:r>
          </w:p>
        </w:tc>
        <w:tc>
          <w:tcPr>
            <w:tcW w:type="dxa" w:w="3213"/>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与经济增长匹配</w:t>
            </w:r>
          </w:p>
        </w:tc>
      </w:tr>
    </w:tbl>
    <w:p>
      <w:pPr>
        <w:spacing w:before="0" w:after="80" w:line="360" w:lineRule="auto"/>
      </w:pPr>
      <w:r>
        <w:rPr>
          <w:rFonts w:ascii="微软雅黑" w:hAnsi="微软雅黑" w:eastAsia="微软雅黑"/>
          <w:b w:val="0"/>
          <w:sz w:val="18"/>
        </w:rPr>
        <w:t>银行业监管被S&amp;P评为区域最先进之一。拉里亚存款占比持续上升（去美元化趋势），贷款拉里亚化率提高，降低汇率风险敞口。</w:t>
      </w:r>
    </w:p>
    <w:p>
      <w:pPr>
        <w:spacing w:before="120" w:after="60" w:line="360" w:lineRule="auto"/>
      </w:pPr>
      <w:r>
        <w:rPr>
          <w:rFonts w:ascii="黑体" w:hAnsi="黑体" w:eastAsia="黑体"/>
          <w:b/>
          <w:color w:val="1A237E"/>
          <w:sz w:val="20"/>
        </w:rPr>
        <w:t>7.2 信贷扩张与风险</w:t>
      </w:r>
    </w:p>
    <w:p>
      <w:pPr>
        <w:spacing w:before="0" w:after="80" w:line="360" w:lineRule="auto"/>
      </w:pPr>
      <w:r>
        <w:rPr>
          <w:rFonts w:ascii="微软雅黑" w:hAnsi="微软雅黑" w:eastAsia="微软雅黑"/>
          <w:b w:val="0"/>
          <w:sz w:val="18"/>
        </w:rPr>
        <w:t>2026年上半年信贷增长14.3%，主要由以下驱动：</w:t>
      </w:r>
    </w:p>
    <w:p>
      <w:pPr>
        <w:spacing w:before="0" w:after="40" w:line="360" w:lineRule="auto"/>
      </w:pPr>
      <w:r>
        <w:rPr>
          <w:rFonts w:ascii="微软雅黑" w:hAnsi="微软雅黑" w:eastAsia="微软雅黑"/>
          <w:b w:val="0"/>
          <w:sz w:val="18"/>
        </w:rPr>
        <w:t>消费贷款：+21.4% YoY</w:t>
      </w:r>
    </w:p>
    <w:p>
      <w:pPr>
        <w:spacing w:before="0" w:after="40" w:line="360" w:lineRule="auto"/>
      </w:pPr>
      <w:r>
        <w:rPr>
          <w:rFonts w:ascii="微软雅黑" w:hAnsi="微软雅黑" w:eastAsia="微软雅黑"/>
          <w:b w:val="0"/>
          <w:sz w:val="18"/>
        </w:rPr>
        <w:t>住房抵押贷款：+12.3% YoY（全年累计+46.5%）</w:t>
      </w:r>
    </w:p>
    <w:p>
      <w:pPr>
        <w:spacing w:before="0" w:after="40" w:line="360" w:lineRule="auto"/>
      </w:pPr>
      <w:r>
        <w:rPr>
          <w:rFonts w:ascii="微软雅黑" w:hAnsi="微软雅黑" w:eastAsia="微软雅黑"/>
          <w:b w:val="0"/>
          <w:sz w:val="18"/>
        </w:rPr>
        <w:t>企业贷款：+12.0% YoY，建筑业为主</w:t>
      </w:r>
    </w:p>
    <w:p>
      <w:pPr>
        <w:spacing w:before="0" w:after="80" w:line="360" w:lineRule="auto"/>
      </w:pPr>
      <w:r>
        <w:rPr>
          <w:rFonts w:ascii="微软雅黑" w:hAnsi="微软雅黑" w:eastAsia="微软雅黑"/>
          <w:b w:val="0"/>
          <w:sz w:val="18"/>
        </w:rPr>
        <w:t>IMF在2026年Article IV咨询中提出预警：部分领域的信贷快速扩张需关注——特别是住房抵押贷款增速显著高于收入增速，房地产融资活跃度上升，如果经济下行可能导致资产价格调整和风险暴露。</w:t>
      </w:r>
    </w:p>
    <w:p>
      <w:pPr>
        <w:spacing w:before="120" w:after="60" w:line="360" w:lineRule="auto"/>
      </w:pPr>
      <w:r>
        <w:rPr>
          <w:rFonts w:ascii="黑体" w:hAnsi="黑体" w:eastAsia="黑体"/>
          <w:b/>
          <w:color w:val="1A237E"/>
          <w:sz w:val="20"/>
        </w:rPr>
        <w:t>7.3 资本市场</w:t>
      </w:r>
    </w:p>
    <w:p>
      <w:pPr>
        <w:spacing w:before="0" w:after="80" w:line="360" w:lineRule="auto"/>
      </w:pPr>
      <w:r>
        <w:rPr>
          <w:rFonts w:ascii="微软雅黑" w:hAnsi="微软雅黑" w:eastAsia="微软雅黑"/>
          <w:b w:val="0"/>
          <w:sz w:val="18"/>
        </w:rPr>
        <w:t>主权信用评级：</w:t>
      </w:r>
    </w:p>
    <w:p>
      <w:pPr>
        <w:spacing w:before="0" w:after="40" w:line="360" w:lineRule="auto"/>
      </w:pPr>
      <w:r>
        <w:rPr>
          <w:rFonts w:ascii="微软雅黑" w:hAnsi="微软雅黑" w:eastAsia="微软雅黑"/>
          <w:b w:val="0"/>
          <w:sz w:val="18"/>
        </w:rPr>
        <w:t>S&amp;P：BB（长期）/B（短期），展望稳定</w:t>
      </w:r>
    </w:p>
    <w:p>
      <w:pPr>
        <w:spacing w:before="0" w:after="40" w:line="360" w:lineRule="auto"/>
      </w:pPr>
      <w:r>
        <w:rPr>
          <w:rFonts w:ascii="微软雅黑" w:hAnsi="微软雅黑" w:eastAsia="微软雅黑"/>
          <w:b w:val="0"/>
          <w:sz w:val="18"/>
        </w:rPr>
        <w:t>Fitch：BB/B，展望稳定</w:t>
      </w:r>
    </w:p>
    <w:p>
      <w:pPr>
        <w:spacing w:before="0" w:after="40" w:line="360" w:lineRule="auto"/>
      </w:pPr>
      <w:r>
        <w:rPr>
          <w:rFonts w:ascii="微软雅黑" w:hAnsi="微软雅黑" w:eastAsia="微软雅黑"/>
          <w:b w:val="0"/>
          <w:sz w:val="18"/>
        </w:rPr>
        <w:t>Moody's：Ba2，展望稳定</w:t>
      </w:r>
    </w:p>
    <w:p>
      <w:pPr>
        <w:spacing w:before="0" w:after="80" w:line="360" w:lineRule="auto"/>
      </w:pPr>
      <w:r>
        <w:rPr>
          <w:rFonts w:ascii="微软雅黑" w:hAnsi="微软雅黑" w:eastAsia="微软雅黑"/>
          <w:b w:val="0"/>
          <w:sz w:val="18"/>
        </w:rPr>
        <w:t>2026年5月成功发行4亿GEL主权债券，认购踊跃，反映投资者信心。欧元区5亿美元Eurobond在1月成功再融资。</w:t>
      </w:r>
    </w:p>
    <w:p/>
    <w:p>
      <w:pPr>
        <w:spacing w:before="160" w:after="80" w:line="360" w:lineRule="auto"/>
      </w:pPr>
      <w:r>
        <w:rPr>
          <w:rFonts w:ascii="黑体" w:hAnsi="黑体" w:eastAsia="黑体"/>
          <w:b/>
          <w:color w:val="1A237E"/>
          <w:sz w:val="22"/>
        </w:rPr>
        <w:t>第八章 投资与产业发展</w:t>
      </w:r>
    </w:p>
    <w:p>
      <w:pPr>
        <w:spacing w:before="120" w:after="60" w:line="360" w:lineRule="auto"/>
      </w:pPr>
      <w:r>
        <w:rPr>
          <w:rFonts w:ascii="黑体" w:hAnsi="黑体" w:eastAsia="黑体"/>
          <w:b/>
          <w:color w:val="1A237E"/>
          <w:sz w:val="20"/>
        </w:rPr>
        <w:t>8.1 外国直接投资（FDI）</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时期</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FDI规模</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同比增长</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备注</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2024全年</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~15.7亿美元</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基期</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2025全年</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16.8亿美元</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+7.6%</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复苏</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2026 Q1</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2.71亿美元</w:t>
            </w:r>
          </w:p>
        </w:tc>
        <w:tc>
          <w:tcPr>
            <w:tcW w:type="dxa" w:w="2409"/>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+47.7%</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反弹</w:t>
            </w:r>
          </w:p>
        </w:tc>
      </w:tr>
    </w:tbl>
    <w:p>
      <w:pPr>
        <w:spacing w:before="0" w:after="80" w:line="360" w:lineRule="auto"/>
      </w:pPr>
      <w:r>
        <w:rPr>
          <w:rFonts w:ascii="微软雅黑" w:hAnsi="微软雅黑" w:eastAsia="微软雅黑"/>
          <w:b w:val="0"/>
          <w:sz w:val="18"/>
        </w:rPr>
        <w:t>2025年FDI净流入占GDP约3.6%，仍低于区域平均水平。Sectoral分布：</w:t>
      </w:r>
    </w:p>
    <w:p>
      <w:pPr>
        <w:spacing w:before="0" w:after="40" w:line="360" w:lineRule="auto"/>
      </w:pPr>
      <w:r>
        <w:rPr>
          <w:rFonts w:ascii="微软雅黑" w:hAnsi="微软雅黑" w:eastAsia="微软雅黑"/>
          <w:b w:val="0"/>
          <w:sz w:val="18"/>
        </w:rPr>
        <w:t>金融保险业：24.5%</w:t>
      </w:r>
    </w:p>
    <w:p>
      <w:pPr>
        <w:spacing w:before="0" w:after="40" w:line="360" w:lineRule="auto"/>
      </w:pPr>
      <w:r>
        <w:rPr>
          <w:rFonts w:ascii="微软雅黑" w:hAnsi="微软雅黑" w:eastAsia="微软雅黑"/>
          <w:b w:val="0"/>
          <w:sz w:val="18"/>
        </w:rPr>
        <w:t>房地产：12.7%</w:t>
      </w:r>
    </w:p>
    <w:p>
      <w:pPr>
        <w:spacing w:before="0" w:after="40" w:line="360" w:lineRule="auto"/>
      </w:pPr>
      <w:r>
        <w:rPr>
          <w:rFonts w:ascii="微软雅黑" w:hAnsi="微软雅黑" w:eastAsia="微软雅黑"/>
          <w:b w:val="0"/>
          <w:sz w:val="18"/>
        </w:rPr>
        <w:t>制造业：11.1%</w:t>
      </w:r>
    </w:p>
    <w:p>
      <w:pPr>
        <w:spacing w:before="0" w:after="40" w:line="360" w:lineRule="auto"/>
      </w:pPr>
      <w:r>
        <w:rPr>
          <w:rFonts w:ascii="微软雅黑" w:hAnsi="微软雅黑" w:eastAsia="微软雅黑"/>
          <w:b w:val="0"/>
          <w:sz w:val="18"/>
        </w:rPr>
        <w:t>交通运输：11.0%</w:t>
      </w:r>
    </w:p>
    <w:p>
      <w:pPr>
        <w:spacing w:before="0" w:after="40" w:line="360" w:lineRule="auto"/>
      </w:pPr>
      <w:r>
        <w:rPr>
          <w:rFonts w:ascii="微软雅黑" w:hAnsi="微软雅黑" w:eastAsia="微软雅黑"/>
          <w:b w:val="0"/>
          <w:sz w:val="18"/>
        </w:rPr>
        <w:t>能源：9%（2025年Q3飙升至9170万美元）</w:t>
      </w:r>
    </w:p>
    <w:p>
      <w:pPr>
        <w:spacing w:before="0" w:after="80" w:line="360" w:lineRule="auto"/>
      </w:pPr>
      <w:r>
        <w:rPr>
          <w:rFonts w:ascii="微软雅黑" w:hAnsi="微软雅黑" w:eastAsia="微软雅黑"/>
          <w:b w:val="0"/>
          <w:sz w:val="18"/>
        </w:rPr>
        <w:t>2026年Tbilisi酒店业投资论坛显示国际开发商（如阿联酋Eagle Hills）开始布局，但签约落地进度仍是关键观察点。</w:t>
      </w:r>
    </w:p>
    <w:p>
      <w:pPr>
        <w:spacing w:before="120" w:after="60" w:line="360" w:lineRule="auto"/>
      </w:pPr>
      <w:r>
        <w:rPr>
          <w:rFonts w:ascii="黑体" w:hAnsi="黑体" w:eastAsia="黑体"/>
          <w:b/>
          <w:color w:val="1A237E"/>
          <w:sz w:val="20"/>
        </w:rPr>
        <w:t>8.2 中走廊战略</w:t>
      </w:r>
    </w:p>
    <w:p>
      <w:pPr>
        <w:spacing w:before="0" w:after="80" w:line="360" w:lineRule="auto"/>
      </w:pPr>
      <w:r>
        <w:rPr>
          <w:rFonts w:ascii="微软雅黑" w:hAnsi="微软雅黑" w:eastAsia="微软雅黑"/>
          <w:b w:val="0"/>
          <w:sz w:val="18"/>
        </w:rPr>
        <w:t>格鲁吉亚正全力打造"中间走廊"（Trans-Caspian International Transport Route, MITI）核心节点地位，连接中国—中亚—里海—格鲁吉亚—黑海—欧洲。关键项目：</w:t>
      </w:r>
    </w:p>
    <w:p>
      <w:pPr>
        <w:spacing w:before="0" w:after="40" w:line="360" w:lineRule="auto"/>
      </w:pPr>
      <w:r>
        <w:rPr>
          <w:rFonts w:ascii="微软雅黑" w:hAnsi="微软雅黑" w:eastAsia="微软雅黑"/>
          <w:b w:val="0"/>
          <w:sz w:val="18"/>
        </w:rPr>
        <w:t>**Anaklia深海运**：重构后的二期项目，战略意义巨大</w:t>
      </w:r>
    </w:p>
    <w:p>
      <w:pPr>
        <w:spacing w:before="0" w:after="40" w:line="360" w:lineRule="auto"/>
      </w:pPr>
      <w:r>
        <w:rPr>
          <w:rFonts w:ascii="微软雅黑" w:hAnsi="微软雅黑" w:eastAsia="微软雅黑"/>
          <w:b w:val="0"/>
          <w:sz w:val="18"/>
        </w:rPr>
        <w:t>**巴库—第比利斯—卡尔斯铁路**：运力提升工程</w:t>
      </w:r>
    </w:p>
    <w:p>
      <w:pPr>
        <w:spacing w:before="0" w:after="40" w:line="360" w:lineRule="auto"/>
      </w:pPr>
      <w:r>
        <w:rPr>
          <w:rFonts w:ascii="微软雅黑" w:hAnsi="微软雅黑" w:eastAsia="微软雅黑"/>
          <w:b w:val="0"/>
          <w:sz w:val="18"/>
        </w:rPr>
        <w:t>**黑色海能源电缆**：增强能源安全</w:t>
      </w:r>
    </w:p>
    <w:p>
      <w:pPr>
        <w:spacing w:before="0" w:after="80" w:line="360" w:lineRule="auto"/>
      </w:pPr>
      <w:r>
        <w:rPr>
          <w:rFonts w:ascii="微软雅黑" w:hAnsi="微软雅黑" w:eastAsia="微软雅黑"/>
          <w:b w:val="0"/>
          <w:sz w:val="18"/>
        </w:rPr>
        <w:t>这些基础设施投资预计在未来5–10年内显著提升格鲁吉亚的贸易枢纽地位，带动物流、金融、服务业联动发展。</w:t>
      </w:r>
    </w:p>
    <w:p>
      <w:pPr>
        <w:spacing w:before="120" w:after="60" w:line="360" w:lineRule="auto"/>
      </w:pPr>
      <w:r>
        <w:rPr>
          <w:rFonts w:ascii="黑体" w:hAnsi="黑体" w:eastAsia="黑体"/>
          <w:b/>
          <w:color w:val="1A237E"/>
          <w:sz w:val="20"/>
        </w:rPr>
        <w:t>8.3 能源安全挑战</w:t>
      </w:r>
    </w:p>
    <w:p>
      <w:pPr>
        <w:spacing w:before="0" w:after="80" w:line="360" w:lineRule="auto"/>
      </w:pPr>
      <w:r>
        <w:rPr>
          <w:rFonts w:ascii="微软雅黑" w:hAnsi="微软雅黑" w:eastAsia="微软雅黑"/>
          <w:b w:val="0"/>
          <w:sz w:val="18"/>
        </w:rPr>
        <w:t>2026年上半年水电产量下降约16%，因河流水量不足（气候变化影响）。能源部门GDP贡献为负。虽然替代能源（风电、光伏）有所增长，但总量不足以弥补缺口。能源进口依赖度上升，增加了经常账户脆弱性。</w:t>
      </w:r>
    </w:p>
    <w:p/>
    <w:p>
      <w:pPr>
        <w:spacing w:before="160" w:after="80" w:line="360" w:lineRule="auto"/>
      </w:pPr>
      <w:r>
        <w:rPr>
          <w:rFonts w:ascii="黑体" w:hAnsi="黑体" w:eastAsia="黑体"/>
          <w:b/>
          <w:color w:val="1A237E"/>
          <w:sz w:val="22"/>
        </w:rPr>
        <w:t>第九章 风险评估与前瞻</w:t>
      </w:r>
    </w:p>
    <w:p>
      <w:pPr>
        <w:spacing w:before="120" w:after="60" w:line="360" w:lineRule="auto"/>
      </w:pPr>
      <w:r>
        <w:rPr>
          <w:rFonts w:ascii="黑体" w:hAnsi="黑体" w:eastAsia="黑体"/>
          <w:b/>
          <w:color w:val="1A237E"/>
          <w:sz w:val="20"/>
        </w:rPr>
        <w:t>9.1 主要风险</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风险类别</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具体风险</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概率</w:t>
            </w:r>
          </w:p>
        </w:tc>
        <w:tc>
          <w:tcPr>
            <w:tcW w:type="dxa" w:w="2409"/>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影响程度</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**地缘政治**</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中东冲突升级→能源价格暴涨</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中等</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高</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**地缘政治**</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俄乌战争外溢效应</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低–中</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中</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**政治**</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欧盟入盟谈判暂停（至2028年）→改革停滞</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已发生</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中</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**经济**</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信贷过快增长→房地产泡沫风险</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中等</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中</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**经济**</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汇率升值过快→出口竞争力削弱</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中等</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低–中</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**气候**</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持续干旱→水电减产→能源危机</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中等</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中</w:t>
            </w:r>
          </w:p>
        </w:tc>
      </w:tr>
      <w:tr>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**外部**</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全球经济衰退→需求萎缩→旅游/出口受损</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中等</w:t>
            </w:r>
          </w:p>
        </w:tc>
        <w:tc>
          <w:tcPr>
            <w:tcW w:type="dxa" w:w="2409"/>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 中</w:t>
            </w:r>
          </w:p>
        </w:tc>
      </w:tr>
    </w:tbl>
    <w:p>
      <w:pPr>
        <w:spacing w:before="120" w:after="60" w:line="360" w:lineRule="auto"/>
      </w:pPr>
      <w:r>
        <w:rPr>
          <w:rFonts w:ascii="黑体" w:hAnsi="黑体" w:eastAsia="黑体"/>
          <w:b/>
          <w:color w:val="1A237E"/>
          <w:sz w:val="20"/>
        </w:rPr>
        <w:t>9.2 上行风险</w:t>
      </w:r>
    </w:p>
    <w:p>
      <w:pPr>
        <w:spacing w:before="0" w:after="40" w:line="360" w:lineRule="auto"/>
      </w:pPr>
      <w:r>
        <w:rPr>
          <w:rFonts w:ascii="微软雅黑" w:hAnsi="微软雅黑" w:eastAsia="微软雅黑"/>
          <w:b w:val="0"/>
          <w:sz w:val="18"/>
        </w:rPr>
        <w:t>中东冲突迅速解决→能源价格回落→通胀快速改善→央行提前宽松</w:t>
      </w:r>
    </w:p>
    <w:p>
      <w:pPr>
        <w:spacing w:before="0" w:after="40" w:line="360" w:lineRule="auto"/>
      </w:pPr>
      <w:r>
        <w:rPr>
          <w:rFonts w:ascii="微软雅黑" w:hAnsi="微软雅黑" w:eastAsia="微软雅黑"/>
          <w:b w:val="0"/>
          <w:sz w:val="18"/>
        </w:rPr>
        <w:t>中走廊项目加速落地→FDI大幅超预期→增长潜力上修</w:t>
      </w:r>
    </w:p>
    <w:p>
      <w:pPr>
        <w:spacing w:before="0" w:after="40" w:line="360" w:lineRule="auto"/>
      </w:pPr>
      <w:r>
        <w:rPr>
          <w:rFonts w:ascii="微软雅黑" w:hAnsi="微软雅黑" w:eastAsia="微软雅黑"/>
          <w:b w:val="0"/>
          <w:sz w:val="18"/>
        </w:rPr>
        <w:t>人民币汇率稳定→中格贸易深化→新兴增长极</w:t>
      </w:r>
    </w:p>
    <w:p>
      <w:pPr>
        <w:spacing w:before="0" w:after="40" w:line="360" w:lineRule="auto"/>
      </w:pPr>
      <w:r>
        <w:rPr>
          <w:rFonts w:ascii="微软雅黑" w:hAnsi="微软雅黑" w:eastAsia="微软雅黑"/>
          <w:b w:val="0"/>
          <w:sz w:val="18"/>
        </w:rPr>
        <w:t>旅游业恢复性增长超预期（尤其是高端旅游）</w:t>
      </w:r>
    </w:p>
    <w:p>
      <w:pPr>
        <w:spacing w:before="120" w:after="60" w:line="360" w:lineRule="auto"/>
      </w:pPr>
      <w:r>
        <w:rPr>
          <w:rFonts w:ascii="黑体" w:hAnsi="黑体" w:eastAsia="黑体"/>
          <w:b/>
          <w:color w:val="1A237E"/>
          <w:sz w:val="20"/>
        </w:rPr>
        <w:t>9.3 2026–2028年预测</w:t>
      </w:r>
    </w:p>
    <w:tbl>
      <w:tblPr>
        <w:tblStyle w:val="TableGrid"/>
        <w:tblW w:type="auto" w:w="0"/>
        <w:jc w:val="center"/>
        <w:tblLook w:firstColumn="1" w:firstRow="1" w:lastColumn="0" w:lastRow="0" w:noHBand="0" w:noVBand="1" w:val="04A0"/>
      </w:tblPr>
      <w:tblGrid>
        <w:gridCol w:w="1928"/>
        <w:gridCol w:w="1928"/>
        <w:gridCol w:w="1928"/>
        <w:gridCol w:w="1928"/>
        <w:gridCol w:w="1928"/>
      </w:tblGrid>
      <w:tr>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年份</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GDP增速</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CPI</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财政赤字/GDP</w:t>
            </w:r>
          </w:p>
        </w:tc>
        <w:tc>
          <w:tcPr>
            <w:tcW w:type="dxa" w:w="1928"/>
            <w:tcBorders>
              <w:top w:val="single" w:sz="4" w:color="999999"/>
              <w:bottom w:val="single" w:sz="4" w:color="999999"/>
              <w:left w:val="none" w:sz="4" w:color="999999"/>
              <w:right w:val="none" w:sz="4" w:color="999999"/>
            </w:tcBorders>
          </w:tcPr>
          <w:p>
            <w:pPr>
              <w:jc w:val="center"/>
            </w:pPr>
            <w:r>
              <w:rPr>
                <w:rFonts w:ascii="微软雅黑" w:hAnsi="微软雅黑" w:eastAsia="微软雅黑"/>
                <w:b/>
                <w:color w:val="1A1A1A"/>
                <w:sz w:val="16"/>
              </w:rPr>
              <w:t>公共债务/GDP</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2025（实际）</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7.5%</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4.6%</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1.5%</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34.7%</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2026（预测）</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6.5–7.0%</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5.0–5.2%</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2.5%</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33.5%</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2027（预测）</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5.0–5.5%</w:t>
            </w:r>
          </w:p>
        </w:tc>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3.0–3.5%</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2.5%</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34.0%</w:t>
            </w:r>
          </w:p>
        </w:tc>
      </w:tr>
      <w:tr>
        <w:tc>
          <w:tcPr>
            <w:tcW w:type="dxa" w:w="1928"/>
            <w:tcBorders>
              <w:top w:val="single" w:sz="4" w:color="999999"/>
              <w:bottom w:val="single" w:sz="4" w:color="999999"/>
              <w:left w:val="none" w:sz="4" w:color="999999"/>
              <w:right w:val="none" w:sz="4" w:color="999999"/>
            </w:tcBorders>
          </w:tcPr>
          <w:p>
            <w:pPr>
              <w:jc w:val="left"/>
            </w:pPr>
            <w:r>
              <w:rPr>
                <w:rFonts w:ascii="微软雅黑" w:hAnsi="微软雅黑" w:eastAsia="微软雅黑"/>
                <w:b w:val="0"/>
                <w:color w:val="1A1A1A"/>
                <w:sz w:val="16"/>
              </w:rPr>
              <w:t>2028（预测）</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5.0%</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3.0%</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2.3%</w:t>
            </w:r>
          </w:p>
        </w:tc>
        <w:tc>
          <w:tcPr>
            <w:tcW w:type="dxa" w:w="1928"/>
            <w:tcBorders>
              <w:top w:val="single" w:sz="4" w:color="999999"/>
              <w:bottom w:val="single" w:sz="4" w:color="999999"/>
              <w:left w:val="none" w:sz="4" w:color="999999"/>
              <w:right w:val="none" w:sz="4" w:color="999999"/>
            </w:tcBorders>
          </w:tcPr>
          <w:p>
            <w:pPr>
              <w:jc w:val="right"/>
            </w:pPr>
            <w:r>
              <w:rPr>
                <w:rFonts w:ascii="微软雅黑" w:hAnsi="微软雅黑" w:eastAsia="微软雅黑"/>
                <w:b w:val="0"/>
                <w:color w:val="1A1A1A"/>
                <w:sz w:val="16"/>
              </w:rPr>
              <w:t>34.5%</w:t>
            </w:r>
          </w:p>
        </w:tc>
      </w:tr>
    </w:tbl>
    <w:p>
      <w:pPr>
        <w:spacing w:before="0" w:after="80" w:line="360" w:lineRule="auto"/>
      </w:pPr>
      <w:r>
        <w:rPr>
          <w:rFonts w:ascii="微软雅黑" w:hAnsi="微软雅黑" w:eastAsia="微软雅黑"/>
          <w:b w:val="0"/>
          <w:sz w:val="18"/>
        </w:rPr>
        <w:t>基线假设：中东冲突早期缓和、欧盟改革进程有限推进、汇率基本稳定。</w:t>
      </w:r>
    </w:p>
    <w:p/>
    <w:p>
      <w:pPr>
        <w:spacing w:before="160" w:after="80" w:line="360" w:lineRule="auto"/>
      </w:pPr>
      <w:r>
        <w:rPr>
          <w:rFonts w:ascii="黑体" w:hAnsi="黑体" w:eastAsia="黑体"/>
          <w:b/>
          <w:color w:val="1A237E"/>
          <w:sz w:val="22"/>
        </w:rPr>
        <w:t>第十章 结论与建议</w:t>
      </w:r>
    </w:p>
    <w:p>
      <w:pPr>
        <w:spacing w:before="120" w:after="60" w:line="360" w:lineRule="auto"/>
      </w:pPr>
      <w:r>
        <w:rPr>
          <w:rFonts w:ascii="黑体" w:hAnsi="黑体" w:eastAsia="黑体"/>
          <w:b/>
          <w:color w:val="1A237E"/>
          <w:sz w:val="20"/>
        </w:rPr>
        <w:t>10.1 核心结论</w:t>
      </w:r>
    </w:p>
    <w:p>
      <w:pPr>
        <w:spacing w:before="0" w:after="40" w:line="360" w:lineRule="auto"/>
      </w:pPr>
      <w:r>
        <w:rPr>
          <w:rFonts w:ascii="微软雅黑" w:hAnsi="微软雅黑" w:eastAsia="微软雅黑"/>
          <w:b w:val="0"/>
          <w:sz w:val="18"/>
        </w:rPr>
        <w:t>1. **增长韧性超预期**：2026年上半年7.9%的GDP增速远超所有机构预测，证明格鲁吉亚经济在外部冲击下具有显著韧性。增长质量良好，由高生产率服务业部门驱动。</w:t>
      </w:r>
    </w:p>
    <w:p>
      <w:pPr>
        <w:spacing w:before="0" w:after="40" w:line="360" w:lineRule="auto"/>
      </w:pPr>
      <w:r>
        <w:rPr>
          <w:rFonts w:ascii="微软雅黑" w:hAnsi="微软雅黑" w:eastAsia="微软雅黑"/>
          <w:b w:val="0"/>
          <w:sz w:val="18"/>
        </w:rPr>
        <w:t>2. **通胀是当前最大挑战**：5.8%的通胀率远超3%目标，主要源于中东冲突推高的能源价格。核心通胀温和但服务通胀有二次传导风险。央行维持8.25%利率，预计下半年通胀回落，2027年中回归目标。</w:t>
      </w:r>
    </w:p>
    <w:p>
      <w:pPr>
        <w:spacing w:before="0" w:after="40" w:line="360" w:lineRule="auto"/>
      </w:pPr>
      <w:r>
        <w:rPr>
          <w:rFonts w:ascii="微软雅黑" w:hAnsi="微软雅黑" w:eastAsia="微软雅黑"/>
          <w:b w:val="0"/>
          <w:sz w:val="18"/>
        </w:rPr>
        <w:t>3. **财政稳健但需警惕国企风险**：公共债务/GDP降至34%，财政赤字控制在2.5%以内，税收执行超预期。但国有企业亏损和利率上升带来的债务服务成本压力需持续关注。</w:t>
      </w:r>
    </w:p>
    <w:p>
      <w:pPr>
        <w:spacing w:before="0" w:after="40" w:line="360" w:lineRule="auto"/>
      </w:pPr>
      <w:r>
        <w:rPr>
          <w:rFonts w:ascii="微软雅黑" w:hAnsi="微软雅黑" w:eastAsia="微软雅黑"/>
          <w:b w:val="0"/>
          <w:sz w:val="18"/>
        </w:rPr>
        <w:t>4. **外部缓冲充足**：外汇储备75亿美元创纪录，经常账户赤字收窄至3%以下，货币主权评级稳定。但能源进口依赖和汇率升值是潜在脆弱性。</w:t>
      </w:r>
    </w:p>
    <w:p>
      <w:pPr>
        <w:spacing w:before="0" w:after="40" w:line="360" w:lineRule="auto"/>
      </w:pPr>
      <w:r>
        <w:rPr>
          <w:rFonts w:ascii="微软雅黑" w:hAnsi="微软雅黑" w:eastAsia="微软雅黑"/>
          <w:b w:val="0"/>
          <w:sz w:val="18"/>
        </w:rPr>
        <w:t>5. **结构性转型进行时**：从传统农业经济向服务业+物流枢纽转型的趋势明确，中走廊基础设施投资将为长期增长奠定基础。但技能错配、非正规就业、青年失业等结构性问题仍需 reform 推进。</w:t>
      </w:r>
    </w:p>
    <w:p>
      <w:pPr>
        <w:spacing w:before="0" w:after="40" w:line="360" w:lineRule="auto"/>
      </w:pPr>
      <w:r>
        <w:rPr>
          <w:rFonts w:ascii="微软雅黑" w:hAnsi="微软雅黑" w:eastAsia="微软雅黑"/>
          <w:b w:val="0"/>
          <w:sz w:val="18"/>
        </w:rPr>
        <w:t>6. **政治不确定性压制长期投资**：欧盟入盟谈判暂停至2028年，改革动力减弱，西方机构投资者信心受挫。这可能与经济增长基本面形成背离——短期内增长向好，但中长期增长潜力存疑。</w:t>
      </w:r>
    </w:p>
    <w:p>
      <w:pPr>
        <w:spacing w:before="120" w:after="60" w:line="360" w:lineRule="auto"/>
      </w:pPr>
      <w:r>
        <w:rPr>
          <w:rFonts w:ascii="黑体" w:hAnsi="黑体" w:eastAsia="黑体"/>
          <w:b/>
          <w:color w:val="1A237E"/>
          <w:sz w:val="20"/>
        </w:rPr>
        <w:t>10.2 政策建议</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对格鲁吉亚政府</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把握税收超收窗口期，将额外收入主要用于偿债而非一次性支出扩张</w:t>
      </w:r>
    </w:p>
    <w:p>
      <w:pPr>
        <w:spacing w:before="0" w:after="40" w:line="360" w:lineRule="auto"/>
      </w:pPr>
      <w:r>
        <w:rPr>
          <w:rFonts w:ascii="微软雅黑" w:hAnsi="微软雅黑" w:eastAsia="微软雅黑"/>
          <w:b w:val="0"/>
          <w:sz w:val="18"/>
        </w:rPr>
        <w:t>加速国企改革的财政纪律框架，控制隐性负债风险</w:t>
      </w:r>
    </w:p>
    <w:p>
      <w:pPr>
        <w:spacing w:before="0" w:after="40" w:line="360" w:lineRule="auto"/>
      </w:pPr>
      <w:r>
        <w:rPr>
          <w:rFonts w:ascii="微软雅黑" w:hAnsi="微软雅黑" w:eastAsia="微软雅黑"/>
          <w:b w:val="0"/>
          <w:sz w:val="18"/>
        </w:rPr>
        <w:t>加大职业教育投入，缓解技能错配</w:t>
      </w:r>
    </w:p>
    <w:p>
      <w:pPr>
        <w:spacing w:before="0" w:after="40" w:line="360" w:lineRule="auto"/>
      </w:pPr>
      <w:r>
        <w:rPr>
          <w:rFonts w:ascii="微软雅黑" w:hAnsi="微软雅黑" w:eastAsia="微软雅黑"/>
          <w:b w:val="0"/>
          <w:sz w:val="18"/>
        </w:rPr>
        <w:t>推进可再生能源投资，降低水电依赖</w:t>
      </w:r>
    </w:p>
    <w:p>
      <w:pPr>
        <w:spacing w:before="0" w:after="40" w:line="360" w:lineRule="auto"/>
      </w:pPr>
      <w:r>
        <w:rPr>
          <w:rFonts w:ascii="微软雅黑" w:hAnsi="微软雅黑" w:eastAsia="微软雅黑"/>
          <w:b w:val="0"/>
          <w:sz w:val="18"/>
        </w:rPr>
        <w:t>在中走廊框架下深化与中亚、中国的基础设施合作</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对投资者</w:t>
      </w:r>
    </w:p>
    <w:p>
      <w:pPr>
        <w:spacing w:before="0" w:after="80" w:line="360" w:lineRule="auto"/>
      </w:pPr>
      <w:r>
        <w:rPr>
          <w:rFonts w:ascii="微软雅黑" w:hAnsi="微软雅黑" w:eastAsia="微软雅黑"/>
          <w:b w:val="0"/>
          <w:sz w:val="18"/>
        </w:rPr>
        <w:t>：</w:t>
      </w:r>
    </w:p>
    <w:p>
      <w:pPr>
        <w:spacing w:before="0" w:after="40" w:line="360" w:lineRule="auto"/>
      </w:pPr>
      <w:r>
        <w:rPr>
          <w:rFonts w:ascii="微软雅黑" w:hAnsi="微软雅黑" w:eastAsia="微软雅黑"/>
          <w:b w:val="0"/>
          <w:sz w:val="18"/>
        </w:rPr>
        <w:t>短期关注：通胀下行周期中的固定收益机会、银行业稳健盈利</w:t>
      </w:r>
    </w:p>
    <w:p>
      <w:pPr>
        <w:spacing w:before="0" w:after="40" w:line="360" w:lineRule="auto"/>
      </w:pPr>
      <w:r>
        <w:rPr>
          <w:rFonts w:ascii="微软雅黑" w:hAnsi="微软雅黑" w:eastAsia="微软雅黑"/>
          <w:b w:val="0"/>
          <w:sz w:val="18"/>
        </w:rPr>
        <w:t>中期关注：物流运输、旅游酒店、ICT出口等结构性增长赛道</w:t>
      </w:r>
    </w:p>
    <w:p>
      <w:pPr>
        <w:spacing w:before="0" w:after="40" w:line="360" w:lineRule="auto"/>
      </w:pPr>
      <w:r>
        <w:rPr>
          <w:rFonts w:ascii="微软雅黑" w:hAnsi="微软雅黑" w:eastAsia="微软雅黑"/>
          <w:b w:val="0"/>
          <w:sz w:val="18"/>
        </w:rPr>
        <w:t>风险提示：汇率升值压缩出口部门利润、信贷扩张过快的资产质量风险、地缘政治尾部风险</w:t>
      </w:r>
    </w:p>
    <w:p/>
    <w:p>
      <w:pPr>
        <w:spacing w:before="160" w:after="80" w:line="360" w:lineRule="auto"/>
      </w:pPr>
      <w:r>
        <w:rPr>
          <w:rFonts w:ascii="黑体" w:hAnsi="黑体" w:eastAsia="黑体"/>
          <w:b/>
          <w:color w:val="1A237E"/>
          <w:sz w:val="22"/>
        </w:rPr>
        <w:t>附录：数据来源与参考文献</w:t>
      </w:r>
    </w:p>
    <w:p>
      <w:pPr>
        <w:spacing w:before="0" w:after="40" w:line="360" w:lineRule="auto"/>
      </w:pPr>
      <w:r>
        <w:rPr>
          <w:rFonts w:ascii="微软雅黑" w:hAnsi="微软雅黑" w:eastAsia="微软雅黑"/>
          <w:b w:val="0"/>
          <w:sz w:val="18"/>
        </w:rPr>
        <w:t>1. IMF Executive Board Concludes 2026 Article IV Consultation with Georgia (June 8, 2026)</w:t>
      </w:r>
    </w:p>
    <w:p>
      <w:pPr>
        <w:spacing w:before="0" w:after="40" w:line="360" w:lineRule="auto"/>
      </w:pPr>
      <w:r>
        <w:rPr>
          <w:rFonts w:ascii="微软雅黑" w:hAnsi="微软雅黑" w:eastAsia="微软雅黑"/>
          <w:b w:val="0"/>
          <w:sz w:val="18"/>
        </w:rPr>
        <w:t>2. Asian Development Outlook April 2026: Georgia Country Brief</w:t>
      </w:r>
    </w:p>
    <w:p>
      <w:pPr>
        <w:spacing w:before="0" w:after="40" w:line="360" w:lineRule="auto"/>
      </w:pPr>
      <w:r>
        <w:rPr>
          <w:rFonts w:ascii="微软雅黑" w:hAnsi="微软雅黑" w:eastAsia="微软雅黑"/>
          <w:b w:val="0"/>
          <w:sz w:val="18"/>
        </w:rPr>
        <w:t>3. World Bank Georgia Monthly Economic Update (July 2026)</w:t>
      </w:r>
    </w:p>
    <w:p>
      <w:pPr>
        <w:spacing w:before="0" w:after="40" w:line="360" w:lineRule="auto"/>
      </w:pPr>
      <w:r>
        <w:rPr>
          <w:rFonts w:ascii="微软雅黑" w:hAnsi="微软雅黑" w:eastAsia="微软雅黑"/>
          <w:b w:val="0"/>
          <w:sz w:val="18"/>
        </w:rPr>
        <w:t>4. National Bank of Georgia Monetary Policy Committee Statements (May–September 2026)</w:t>
      </w:r>
    </w:p>
    <w:p>
      <w:pPr>
        <w:spacing w:before="0" w:after="40" w:line="360" w:lineRule="auto"/>
      </w:pPr>
      <w:r>
        <w:rPr>
          <w:rFonts w:ascii="微软雅黑" w:hAnsi="微软雅黑" w:eastAsia="微软雅黑"/>
          <w:b w:val="0"/>
          <w:sz w:val="18"/>
        </w:rPr>
        <w:t>5. Geostat Georgia: GDP Estimates June 2026</w:t>
      </w:r>
    </w:p>
    <w:p>
      <w:pPr>
        <w:spacing w:before="0" w:after="40" w:line="360" w:lineRule="auto"/>
      </w:pPr>
      <w:r>
        <w:rPr>
          <w:rFonts w:ascii="微软雅黑" w:hAnsi="微软雅黑" w:eastAsia="微软雅黑"/>
          <w:b w:val="0"/>
          <w:sz w:val="18"/>
        </w:rPr>
        <w:t>6. Ministry of Finance of Georgia: 2026 State Budget Execution Reports</w:t>
      </w:r>
    </w:p>
    <w:p>
      <w:pPr>
        <w:spacing w:before="0" w:after="40" w:line="360" w:lineRule="auto"/>
      </w:pPr>
      <w:r>
        <w:rPr>
          <w:rFonts w:ascii="微软雅黑" w:hAnsi="微软雅黑" w:eastAsia="微软雅黑"/>
          <w:b w:val="0"/>
          <w:sz w:val="18"/>
        </w:rPr>
        <w:t>7. Galt &amp; Taggart Weekly Market Watch (September 2025–2026)</w:t>
      </w:r>
    </w:p>
    <w:p>
      <w:pPr>
        <w:spacing w:before="0" w:after="40" w:line="360" w:lineRule="auto"/>
      </w:pPr>
      <w:r>
        <w:rPr>
          <w:rFonts w:ascii="微软雅黑" w:hAnsi="微软雅黑" w:eastAsia="微软雅黑"/>
          <w:b w:val="0"/>
          <w:sz w:val="18"/>
        </w:rPr>
        <w:t>8. Parliament of Georgia: Budget and Finance Committee Hearings (2026)</w:t>
      </w:r>
    </w:p>
    <w:p>
      <w:pPr>
        <w:spacing w:before="0" w:after="40" w:line="360" w:lineRule="auto"/>
      </w:pPr>
      <w:r>
        <w:rPr>
          <w:rFonts w:ascii="微软雅黑" w:hAnsi="微软雅黑" w:eastAsia="微软雅黑"/>
          <w:b w:val="0"/>
          <w:sz w:val="18"/>
        </w:rPr>
        <w:t>9. S&amp;P Global Ratings: Georgia Sovereign Rating (2026)</w:t>
      </w:r>
    </w:p>
    <w:p>
      <w:pPr>
        <w:spacing w:before="0" w:after="40" w:line="360" w:lineRule="auto"/>
      </w:pPr>
      <w:r>
        <w:rPr>
          <w:rFonts w:ascii="微软雅黑" w:hAnsi="微软雅黑" w:eastAsia="微软雅黑"/>
          <w:b w:val="0"/>
          <w:sz w:val="18"/>
        </w:rPr>
        <w:t>10. FactCheck.ge: 2026 Budget Analysis</w:t>
      </w:r>
    </w:p>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sz w:val="18"/>
        </w:rPr>
        <w:t>免责声明</w:t>
      </w:r>
    </w:p>
    <w:p>
      <w:pPr>
        <w:spacing w:before="0" w:after="80" w:line="360" w:lineRule="auto"/>
      </w:pPr>
      <w:r>
        <w:rPr>
          <w:rFonts w:ascii="微软雅黑" w:hAnsi="微软雅黑" w:eastAsia="微软雅黑"/>
          <w:b w:val="0"/>
          <w:sz w:val="18"/>
        </w:rPr>
      </w:r>
    </w:p>
    <w:p>
      <w:pPr>
        <w:spacing w:before="0" w:after="80" w:line="360" w:lineRule="auto"/>
      </w:pPr>
      <w:r>
        <w:rPr>
          <w:rFonts w:ascii="微软雅黑" w:hAnsi="微软雅黑" w:eastAsia="微软雅黑"/>
          <w:b w:val="0"/>
          <w:sz w:val="18"/>
        </w:rPr>
        <w:t>本报告仅供参考，不构成任何投资建议。报告中的数据和分析基于公开可用的信息来源，我们不对信息的准确性、完整性或及时性作出任何保证。读者应自行判断并做出独立投资决策。本报告中的观点仅代表作者个人分析，不代表任何机构立场。任何因使用本报告内容而产生的损失，作者及所属机构不承担法律责任。</w:t>
      </w:r>
    </w:p>
    <w:p/>
    <w:p>
      <w:pPr>
        <w:spacing w:before="0" w:after="80" w:line="360" w:lineRule="auto"/>
      </w:pPr>
      <w:r>
        <w:rPr>
          <w:rFonts w:ascii="微软雅黑" w:hAnsi="微软雅黑" w:eastAsia="微软雅黑"/>
          <w:b w:val="0"/>
          <w:sz w:val="18"/>
        </w:rPr>
        <w:t>*报告完*</w:t>
      </w:r>
    </w:p>
    <w:p>
      <w:pPr>
        <w:spacing w:before="0" w:after="80" w:line="360" w:lineRule="auto"/>
      </w:pPr>
      <w:r>
        <w:rPr>
          <w:rFonts w:ascii="微软雅黑" w:hAnsi="微软雅黑" w:eastAsia="微软雅黑"/>
          <w:b w:val="0"/>
          <w:sz w:val="18"/>
        </w:rPr>
        <w:t>*字数统计：约19,500字*</w:t>
      </w:r>
    </w:p>
    <w:p>
      <w:pPr>
        <w:spacing w:before="0" w:after="80" w:line="360" w:lineRule="auto"/>
      </w:pPr>
      <w:r>
        <w:rPr>
          <w:rFonts w:ascii="微软雅黑" w:hAnsi="微软雅黑" w:eastAsia="微软雅黑"/>
          <w:b w:val="0"/>
          <w:sz w:val="18"/>
        </w:rPr>
        <w:t>*编制日期：2026年9月25日*</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