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黑体"/>
          <w:b/>
          <w:sz w:val="36"/>
        </w:rPr>
        <w:t>国内境外证券投资途径全景分析</w:t>
      </w:r>
    </w:p>
    <w:p>
      <w:pPr>
        <w:spacing w:after="120"/>
        <w:jc w:val="center"/>
      </w:pPr>
      <w:r>
        <w:rPr>
          <w:rFonts w:ascii="Times New Roman" w:hAnsi="Times New Roman" w:eastAsia="黑体"/>
          <w:b/>
          <w:sz w:val="36"/>
        </w:rPr>
        <w:t>与跨境收益互换通道优势研究</w:t>
      </w:r>
    </w:p>
    <w:p>
      <w:pPr>
        <w:spacing w:after="200"/>
        <w:jc w:val="center"/>
      </w:pPr>
      <w:r>
        <w:rPr>
          <w:rFonts w:ascii="Times New Roman" w:hAnsi="Times New Roman" w:eastAsia="楷体"/>
          <w:b w:val="0"/>
          <w:color w:val="595959"/>
          <w:sz w:val="22"/>
        </w:rPr>
        <w:t>——以金数瀚宇全球精选1号为例</w:t>
      </w:r>
    </w:p>
    <w:p>
      <w:pPr>
        <w:spacing w:line="360" w:lineRule="auto" w:after="40" w:before="0"/>
        <w:jc w:val="center"/>
      </w:pPr>
      <w:r>
        <w:rPr>
          <w:rFonts w:ascii="Times New Roman" w:hAnsi="Times New Roman" w:eastAsia="楷体"/>
          <w:b w:val="0"/>
          <w:color w:val="595959"/>
          <w:sz w:val="20"/>
        </w:rPr>
        <w:t>报告日期：2026年10月1日    编制：深圳金数私募证券基金管理有限公司</w:t>
      </w:r>
    </w:p>
    <w:p>
      <w:pPr>
        <w:spacing w:line="360" w:lineRule="auto" w:after="240" w:before="0"/>
        <w:jc w:val="center"/>
      </w:pPr>
      <w:r>
        <w:rPr>
          <w:rFonts w:ascii="Times New Roman" w:hAnsi="Times New Roman" w:eastAsia="楷体"/>
          <w:b w:val="0"/>
          <w:color w:val="595959"/>
          <w:sz w:val="20"/>
        </w:rPr>
        <w:t>触发背景：东方财富网2026年10月1日转载第一财经《在港机构加码清理内地非法交易 多家收紧部分观望》</w:t>
      </w:r>
    </w:p>
    <w:p>
      <w:pPr>
        <w:spacing w:line="360" w:lineRule="auto" w:after="160" w:before="320"/>
        <w:jc w:val="both"/>
      </w:pPr>
      <w:r>
        <w:rPr>
          <w:rFonts w:ascii="Times New Roman" w:hAnsi="Times New Roman" w:eastAsia="黑体"/>
          <w:b/>
          <w:sz w:val="32"/>
        </w:rPr>
        <w:t>核心结论</w:t>
      </w:r>
    </w:p>
    <w:p>
      <w:pPr>
        <w:spacing w:line="360" w:lineRule="auto" w:after="160" w:before="80"/>
        <w:ind w:left="240" w:right="240"/>
        <w:shd w:val="clear" w:color="auto" w:fill="FFF2CC"/>
      </w:pPr>
      <w:r>
        <w:rPr>
          <w:rFonts w:ascii="Times New Roman" w:hAnsi="Times New Roman" w:eastAsia="楷体"/>
          <w:b w:val="0"/>
          <w:sz w:val="22"/>
        </w:rPr>
        <w:t>国内资金参与境外证券投资的通道正在经历"关偏门、开正门"的结构性重塑：灰色路径被系统性封堵，而合规通道普遍受制于"额度"这一总闸门。在这一格局下，跨境收益互换（TRS）是少数不占用QDII/QDLP/QDIE额度、资金不出境、且仍能实际建仓的机构化通道。瀚宇全球精选1号采用境内券商跨境收益互换持有美股敞口，在当前额度环境下仍可开仓美股ETF与美股股指期货——这既是合规选择，也是当下最稀缺的能力。</w:t>
      </w:r>
    </w:p>
    <w:p>
      <w:pPr>
        <w:spacing w:line="360" w:lineRule="auto" w:after="120" w:before="0"/>
        <w:ind w:firstLine="480"/>
        <w:jc w:val="both"/>
      </w:pPr>
      <w:r>
        <w:rPr>
          <w:rFonts w:ascii="Times New Roman" w:hAnsi="Times New Roman" w:eastAsia="宋体"/>
          <w:b w:val="0"/>
          <w:sz w:val="24"/>
        </w:rPr>
        <w:t>本报告分三部分展开：第一，梳理监管收紧的最新进展；第二，系统分析目前国内资金参与境外证券投资的各类途径及其现实约束；第三，说明瀚宇全球精选1号采用跨境收益互换的通道优势。</w:t>
      </w:r>
    </w:p>
    <w:p>
      <w:pPr>
        <w:spacing w:line="360" w:lineRule="auto" w:after="160" w:before="320"/>
        <w:jc w:val="both"/>
      </w:pPr>
      <w:r>
        <w:rPr>
          <w:rFonts w:ascii="Times New Roman" w:hAnsi="Times New Roman" w:eastAsia="黑体"/>
          <w:b/>
          <w:sz w:val="32"/>
        </w:rPr>
        <w:t>一、监管背景：跨境通道正在"关偏门、开正门"</w:t>
      </w:r>
    </w:p>
    <w:p>
      <w:pPr>
        <w:spacing w:line="360" w:lineRule="auto" w:after="120" w:before="0"/>
        <w:ind w:firstLine="480"/>
        <w:jc w:val="both"/>
      </w:pPr>
      <w:r>
        <w:rPr>
          <w:rFonts w:ascii="Times New Roman" w:hAnsi="Times New Roman" w:eastAsia="宋体"/>
          <w:b w:val="0"/>
          <w:sz w:val="24"/>
        </w:rPr>
        <w:t>2026年10月1日东方财富网转载第一财经报道显示，内地投资者通过非法途径跨境参与香港资本市场交易的窗口正在快速关闭。本轮整治的政策依据是证监会等八部门于2026年5月联合印发的《综合整治非法跨境证券期货基金经营活动实施方案》（下称《整治方案》），其设置了2年集中整治期。</w:t>
      </w:r>
    </w:p>
    <w:tbl>
      <w:tblPr>
        <w:tblStyle w:val="TableGrid"/>
        <w:tblW w:type="auto" w:w="0"/>
        <w:jc w:val="center"/>
        <w:tblLook w:firstColumn="1" w:firstRow="1" w:lastColumn="0" w:lastRow="0" w:noHBand="0" w:noVBand="1" w:val="04A0"/>
      </w:tblPr>
      <w:tblGrid>
        <w:gridCol w:w="2882"/>
        <w:gridCol w:w="2882"/>
        <w:gridCol w:w="2882"/>
      </w:tblGrid>
      <w:tr>
        <w:tc>
          <w:tcPr>
            <w:tcW w:type="dxa" w:w="1247"/>
            <w:shd w:val="clear" w:color="auto" w:fill="D9E2F3"/>
          </w:tcPr>
          <w:p>
            <w:pPr>
              <w:spacing w:line="240" w:lineRule="auto"/>
              <w:jc w:val="center"/>
            </w:pPr>
            <w:r>
              <w:rPr>
                <w:rFonts w:ascii="Times New Roman" w:hAnsi="Times New Roman" w:eastAsia="黑体"/>
                <w:b/>
                <w:sz w:val="20"/>
              </w:rPr>
              <w:t>时间</w:t>
            </w:r>
          </w:p>
        </w:tc>
        <w:tc>
          <w:tcPr>
            <w:tcW w:type="dxa" w:w="1928"/>
            <w:shd w:val="clear" w:color="auto" w:fill="D9E2F3"/>
          </w:tcPr>
          <w:p>
            <w:pPr>
              <w:spacing w:line="240" w:lineRule="auto"/>
              <w:jc w:val="center"/>
            </w:pPr>
            <w:r>
              <w:rPr>
                <w:rFonts w:ascii="Times New Roman" w:hAnsi="Times New Roman" w:eastAsia="黑体"/>
                <w:b/>
                <w:sz w:val="20"/>
              </w:rPr>
              <w:t>主体</w:t>
            </w:r>
          </w:p>
        </w:tc>
        <w:tc>
          <w:tcPr>
            <w:tcW w:type="dxa" w:w="5216"/>
            <w:shd w:val="clear" w:color="auto" w:fill="D9E2F3"/>
          </w:tcPr>
          <w:p>
            <w:pPr>
              <w:spacing w:line="240" w:lineRule="auto"/>
              <w:jc w:val="center"/>
            </w:pPr>
            <w:r>
              <w:rPr>
                <w:rFonts w:ascii="Times New Roman" w:hAnsi="Times New Roman" w:eastAsia="黑体"/>
                <w:b/>
                <w:sz w:val="20"/>
              </w:rPr>
              <w:t>具体措施</w:t>
            </w:r>
          </w:p>
        </w:tc>
      </w:tr>
      <w:tr>
        <w:tc>
          <w:tcPr>
            <w:tcW w:type="dxa" w:w="1247"/>
          </w:tcPr>
          <w:p>
            <w:pPr>
              <w:spacing w:line="240" w:lineRule="auto" w:after="40"/>
            </w:pPr>
            <w:r>
              <w:rPr>
                <w:rFonts w:ascii="Times New Roman" w:hAnsi="Times New Roman" w:eastAsia="宋体"/>
                <w:b/>
                <w:sz w:val="20"/>
              </w:rPr>
              <w:t>2026年5月</w:t>
            </w:r>
          </w:p>
        </w:tc>
        <w:tc>
          <w:tcPr>
            <w:tcW w:type="dxa" w:w="1928"/>
          </w:tcPr>
          <w:p>
            <w:pPr>
              <w:spacing w:line="240" w:lineRule="auto" w:after="40"/>
            </w:pPr>
            <w:r>
              <w:rPr>
                <w:rFonts w:ascii="Times New Roman" w:hAnsi="Times New Roman" w:eastAsia="宋体"/>
                <w:b w:val="0"/>
                <w:sz w:val="20"/>
              </w:rPr>
              <w:t>证监会等八部门</w:t>
            </w:r>
          </w:p>
        </w:tc>
        <w:tc>
          <w:tcPr>
            <w:tcW w:type="dxa" w:w="5216"/>
          </w:tcPr>
          <w:p>
            <w:pPr>
              <w:spacing w:line="240" w:lineRule="auto" w:after="40"/>
            </w:pPr>
            <w:r>
              <w:rPr>
                <w:rFonts w:ascii="Times New Roman" w:hAnsi="Times New Roman" w:eastAsia="宋体"/>
                <w:b w:val="0"/>
                <w:sz w:val="20"/>
              </w:rPr>
              <w:t>印发《整治方案》，设置2年集中整治期；期内禁止境外机构为存量境内投资者提供买入、转入资金服务，只允许单向卖出并转出资金；期满后境外机构须全面关停境内网站、交易软件及配套服务</w:t>
            </w:r>
          </w:p>
        </w:tc>
      </w:tr>
      <w:tr>
        <w:tc>
          <w:tcPr>
            <w:tcW w:type="dxa" w:w="1247"/>
          </w:tcPr>
          <w:p>
            <w:pPr>
              <w:spacing w:line="240" w:lineRule="auto" w:after="40"/>
            </w:pPr>
            <w:r>
              <w:rPr>
                <w:rFonts w:ascii="Times New Roman" w:hAnsi="Times New Roman" w:eastAsia="宋体"/>
                <w:b/>
                <w:sz w:val="20"/>
              </w:rPr>
              <w:t>2026年6月</w:t>
            </w:r>
          </w:p>
        </w:tc>
        <w:tc>
          <w:tcPr>
            <w:tcW w:type="dxa" w:w="1928"/>
          </w:tcPr>
          <w:p>
            <w:pPr>
              <w:spacing w:line="240" w:lineRule="auto" w:after="40"/>
            </w:pPr>
            <w:r>
              <w:rPr>
                <w:rFonts w:ascii="Times New Roman" w:hAnsi="Times New Roman" w:eastAsia="宋体"/>
                <w:b w:val="0"/>
                <w:sz w:val="20"/>
              </w:rPr>
              <w:t>证监会</w:t>
            </w:r>
          </w:p>
        </w:tc>
        <w:tc>
          <w:tcPr>
            <w:tcW w:type="dxa" w:w="5216"/>
          </w:tcPr>
          <w:p>
            <w:pPr>
              <w:spacing w:line="240" w:lineRule="auto" w:after="40"/>
            </w:pPr>
            <w:r>
              <w:rPr>
                <w:rFonts w:ascii="Times New Roman" w:hAnsi="Times New Roman" w:eastAsia="宋体"/>
                <w:b w:val="0"/>
                <w:sz w:val="20"/>
              </w:rPr>
              <w:t>对老虎证券、富途控股、长桥证券境内非法经营证券业务行为作出行政处罚事先告知</w:t>
            </w:r>
          </w:p>
        </w:tc>
      </w:tr>
      <w:tr>
        <w:tc>
          <w:tcPr>
            <w:tcW w:type="dxa" w:w="1247"/>
          </w:tcPr>
          <w:p>
            <w:pPr>
              <w:spacing w:line="240" w:lineRule="auto" w:after="40"/>
            </w:pPr>
            <w:r>
              <w:rPr>
                <w:rFonts w:ascii="Times New Roman" w:hAnsi="Times New Roman" w:eastAsia="宋体"/>
                <w:b/>
                <w:sz w:val="20"/>
              </w:rPr>
              <w:t>2026年6月12日</w:t>
            </w:r>
          </w:p>
        </w:tc>
        <w:tc>
          <w:tcPr>
            <w:tcW w:type="dxa" w:w="1928"/>
          </w:tcPr>
          <w:p>
            <w:pPr>
              <w:spacing w:line="240" w:lineRule="auto" w:after="40"/>
            </w:pPr>
            <w:r>
              <w:rPr>
                <w:rFonts w:ascii="Times New Roman" w:hAnsi="Times New Roman" w:eastAsia="宋体"/>
                <w:b w:val="0"/>
                <w:sz w:val="20"/>
              </w:rPr>
              <w:t>老虎证券</w:t>
            </w:r>
          </w:p>
        </w:tc>
        <w:tc>
          <w:tcPr>
            <w:tcW w:type="dxa" w:w="5216"/>
          </w:tcPr>
          <w:p>
            <w:pPr>
              <w:spacing w:line="240" w:lineRule="auto" w:after="40"/>
            </w:pPr>
            <w:r>
              <w:rPr>
                <w:rFonts w:ascii="Times New Roman" w:hAnsi="Times New Roman" w:eastAsia="宋体"/>
                <w:b w:val="0"/>
                <w:sz w:val="20"/>
              </w:rPr>
              <w:t>暂停境内股票等所有品种新开仓、加仓交易，仅支持卖出与平仓；暂停资金转入</w:t>
            </w:r>
          </w:p>
        </w:tc>
      </w:tr>
      <w:tr>
        <w:tc>
          <w:tcPr>
            <w:tcW w:type="dxa" w:w="1247"/>
          </w:tcPr>
          <w:p>
            <w:pPr>
              <w:spacing w:line="240" w:lineRule="auto" w:after="40"/>
            </w:pPr>
            <w:r>
              <w:rPr>
                <w:rFonts w:ascii="Times New Roman" w:hAnsi="Times New Roman" w:eastAsia="宋体"/>
                <w:b/>
                <w:sz w:val="20"/>
              </w:rPr>
              <w:t>2026年6月</w:t>
            </w:r>
          </w:p>
        </w:tc>
        <w:tc>
          <w:tcPr>
            <w:tcW w:type="dxa" w:w="1928"/>
          </w:tcPr>
          <w:p>
            <w:pPr>
              <w:spacing w:line="240" w:lineRule="auto" w:after="40"/>
            </w:pPr>
            <w:r>
              <w:rPr>
                <w:rFonts w:ascii="Times New Roman" w:hAnsi="Times New Roman" w:eastAsia="宋体"/>
                <w:b w:val="0"/>
                <w:sz w:val="20"/>
              </w:rPr>
              <w:t>富途、长桥</w:t>
            </w:r>
          </w:p>
        </w:tc>
        <w:tc>
          <w:tcPr>
            <w:tcW w:type="dxa" w:w="5216"/>
          </w:tcPr>
          <w:p>
            <w:pPr>
              <w:spacing w:line="240" w:lineRule="auto" w:after="40"/>
            </w:pPr>
            <w:r>
              <w:rPr>
                <w:rFonts w:ascii="Times New Roman" w:hAnsi="Times New Roman" w:eastAsia="宋体"/>
                <w:b w:val="0"/>
                <w:sz w:val="20"/>
              </w:rPr>
              <w:t>同步调整境内业务，互联网券商渠道先行收紧</w:t>
            </w:r>
          </w:p>
        </w:tc>
      </w:tr>
      <w:tr>
        <w:tc>
          <w:tcPr>
            <w:tcW w:type="dxa" w:w="1247"/>
          </w:tcPr>
          <w:p>
            <w:pPr>
              <w:spacing w:line="240" w:lineRule="auto" w:after="40"/>
            </w:pPr>
            <w:r>
              <w:rPr>
                <w:rFonts w:ascii="Times New Roman" w:hAnsi="Times New Roman" w:eastAsia="宋体"/>
                <w:b/>
                <w:sz w:val="20"/>
              </w:rPr>
              <w:t>2026年9月7日</w:t>
            </w:r>
          </w:p>
        </w:tc>
        <w:tc>
          <w:tcPr>
            <w:tcW w:type="dxa" w:w="1928"/>
          </w:tcPr>
          <w:p>
            <w:pPr>
              <w:spacing w:line="240" w:lineRule="auto" w:after="40"/>
            </w:pPr>
            <w:r>
              <w:rPr>
                <w:rFonts w:ascii="Times New Roman" w:hAnsi="Times New Roman" w:eastAsia="宋体"/>
                <w:b w:val="0"/>
                <w:sz w:val="20"/>
              </w:rPr>
              <w:t>兴证国际（06058.HK）</w:t>
            </w:r>
          </w:p>
        </w:tc>
        <w:tc>
          <w:tcPr>
            <w:tcW w:type="dxa" w:w="5216"/>
          </w:tcPr>
          <w:p>
            <w:pPr>
              <w:spacing w:line="240" w:lineRule="auto" w:after="40"/>
            </w:pPr>
            <w:r>
              <w:rPr>
                <w:rFonts w:ascii="Times New Roman" w:hAnsi="Times New Roman" w:eastAsia="宋体"/>
                <w:b w:val="0"/>
                <w:sz w:val="20"/>
              </w:rPr>
              <w:t>内地IP登录账户：只能卖出和出金，不能买入和入金</w:t>
            </w:r>
          </w:p>
        </w:tc>
      </w:tr>
      <w:tr>
        <w:tc>
          <w:tcPr>
            <w:tcW w:type="dxa" w:w="1247"/>
          </w:tcPr>
          <w:p>
            <w:pPr>
              <w:spacing w:line="240" w:lineRule="auto" w:after="40"/>
            </w:pPr>
            <w:r>
              <w:rPr>
                <w:rFonts w:ascii="Times New Roman" w:hAnsi="Times New Roman" w:eastAsia="宋体"/>
                <w:b/>
                <w:sz w:val="20"/>
              </w:rPr>
              <w:t>2026年9月26日</w:t>
            </w:r>
          </w:p>
        </w:tc>
        <w:tc>
          <w:tcPr>
            <w:tcW w:type="dxa" w:w="1928"/>
          </w:tcPr>
          <w:p>
            <w:pPr>
              <w:spacing w:line="240" w:lineRule="auto" w:after="40"/>
            </w:pPr>
            <w:r>
              <w:rPr>
                <w:rFonts w:ascii="Times New Roman" w:hAnsi="Times New Roman" w:eastAsia="宋体"/>
                <w:b w:val="0"/>
                <w:sz w:val="20"/>
              </w:rPr>
              <w:t>国泰君安国际（01788.HK）</w:t>
            </w:r>
          </w:p>
        </w:tc>
        <w:tc>
          <w:tcPr>
            <w:tcW w:type="dxa" w:w="5216"/>
          </w:tcPr>
          <w:p>
            <w:pPr>
              <w:spacing w:line="240" w:lineRule="auto" w:after="40"/>
            </w:pPr>
            <w:r>
              <w:rPr>
                <w:rFonts w:ascii="Times New Roman" w:hAnsi="Times New Roman" w:eastAsia="宋体"/>
                <w:b w:val="0"/>
                <w:sz w:val="20"/>
              </w:rPr>
              <w:t>按风控要求实施同等限制，且不接受内地身份投资者新增开户</w:t>
            </w:r>
          </w:p>
        </w:tc>
      </w:tr>
      <w:tr>
        <w:tc>
          <w:tcPr>
            <w:tcW w:type="dxa" w:w="1247"/>
          </w:tcPr>
          <w:p>
            <w:pPr>
              <w:spacing w:line="240" w:lineRule="auto" w:after="40"/>
            </w:pPr>
            <w:r>
              <w:rPr>
                <w:rFonts w:ascii="Times New Roman" w:hAnsi="Times New Roman" w:eastAsia="宋体"/>
                <w:b/>
                <w:sz w:val="20"/>
              </w:rPr>
              <w:t>2026年10月起</w:t>
            </w:r>
          </w:p>
        </w:tc>
        <w:tc>
          <w:tcPr>
            <w:tcW w:type="dxa" w:w="1928"/>
          </w:tcPr>
          <w:p>
            <w:pPr>
              <w:spacing w:line="240" w:lineRule="auto" w:after="40"/>
            </w:pPr>
            <w:r>
              <w:rPr>
                <w:rFonts w:ascii="Times New Roman" w:hAnsi="Times New Roman" w:eastAsia="宋体"/>
                <w:b w:val="0"/>
                <w:sz w:val="20"/>
              </w:rPr>
              <w:t>东方金控（东方证券03958.HK旗下）</w:t>
            </w:r>
          </w:p>
        </w:tc>
        <w:tc>
          <w:tcPr>
            <w:tcW w:type="dxa" w:w="5216"/>
          </w:tcPr>
          <w:p>
            <w:pPr>
              <w:spacing w:line="240" w:lineRule="auto" w:after="40"/>
            </w:pPr>
            <w:r>
              <w:rPr>
                <w:rFonts w:ascii="Times New Roman" w:hAnsi="Times New Roman" w:eastAsia="宋体"/>
                <w:b w:val="0"/>
                <w:sz w:val="20"/>
              </w:rPr>
              <w:t>内地投资者在内地登录只能卖出和出金</w:t>
            </w:r>
          </w:p>
        </w:tc>
      </w:tr>
      <w:tr>
        <w:tc>
          <w:tcPr>
            <w:tcW w:type="dxa" w:w="1247"/>
          </w:tcPr>
          <w:p>
            <w:pPr>
              <w:spacing w:line="240" w:lineRule="auto" w:after="40"/>
            </w:pPr>
            <w:r>
              <w:rPr>
                <w:rFonts w:ascii="Times New Roman" w:hAnsi="Times New Roman" w:eastAsia="宋体"/>
                <w:b/>
                <w:sz w:val="20"/>
              </w:rPr>
              <w:t>持续状态</w:t>
            </w:r>
          </w:p>
        </w:tc>
        <w:tc>
          <w:tcPr>
            <w:tcW w:type="dxa" w:w="1928"/>
          </w:tcPr>
          <w:p>
            <w:pPr>
              <w:spacing w:line="240" w:lineRule="auto" w:after="40"/>
            </w:pPr>
            <w:r>
              <w:rPr>
                <w:rFonts w:ascii="Times New Roman" w:hAnsi="Times New Roman" w:eastAsia="宋体"/>
                <w:b w:val="0"/>
                <w:sz w:val="20"/>
              </w:rPr>
              <w:t>招商证券国际、华泰国际等</w:t>
            </w:r>
          </w:p>
        </w:tc>
        <w:tc>
          <w:tcPr>
            <w:tcW w:type="dxa" w:w="5216"/>
          </w:tcPr>
          <w:p>
            <w:pPr>
              <w:spacing w:line="240" w:lineRule="auto" w:after="40"/>
            </w:pPr>
            <w:r>
              <w:rPr>
                <w:rFonts w:ascii="Times New Roman" w:hAnsi="Times New Roman" w:eastAsia="宋体"/>
                <w:b w:val="0"/>
                <w:sz w:val="20"/>
              </w:rPr>
              <w:t>不接受仅持内地身份者新开账户；部分外资机构处于观望</w:t>
            </w:r>
          </w:p>
        </w:tc>
      </w:tr>
    </w:tbl>
    <w:p>
      <w:pPr>
        <w:spacing w:after="40"/>
      </w:pPr>
    </w:p>
    <w:p>
      <w:pPr>
        <w:spacing w:line="360" w:lineRule="auto" w:after="120" w:before="0"/>
        <w:ind w:firstLine="480"/>
        <w:jc w:val="both"/>
      </w:pPr>
      <w:r>
        <w:rPr>
          <w:rFonts w:ascii="Times New Roman" w:hAnsi="Times New Roman" w:eastAsia="宋体"/>
          <w:b w:val="0"/>
          <w:sz w:val="24"/>
        </w:rPr>
        <w:t>本轮清理的三条硬性约束是：其一，交易权限单向化，受限账户只能卖出、平仓、出金；其二，判定标准为登录IP是否显示在内地；其三，增量通道关闭，仅持内地身份者无法新开账户。三者叠加，意味着绕道开户这条路径已进入不可逆的收缩期。</w:t>
      </w:r>
    </w:p>
    <w:p>
      <w:pPr>
        <w:spacing w:line="360" w:lineRule="auto" w:after="120" w:before="0"/>
        <w:ind w:firstLine="480"/>
        <w:jc w:val="both"/>
      </w:pPr>
      <w:r>
        <w:rPr>
          <w:rFonts w:ascii="Times New Roman" w:hAnsi="Times New Roman" w:eastAsia="宋体"/>
          <w:b w:val="0"/>
          <w:sz w:val="24"/>
        </w:rPr>
        <w:t>需要明确的是，监管整治的靶心是"境外机构（未在境内获批展业）× 境内自然人投资者 × 境内登录或境内展业"这一组合，而非境内持牌机构通过合规通道开展的境外资产配置。《整治方案》本身亦明确引导境内投资者通过合法渠道开展境外投资。因此，这轮整治对合规机构化产品而言，是一次需求再分配的机会，而非约束。</w:t>
      </w:r>
    </w:p>
    <w:p>
      <w:pPr>
        <w:spacing w:line="360" w:lineRule="auto" w:after="160" w:before="320"/>
        <w:jc w:val="both"/>
      </w:pPr>
      <w:r>
        <w:rPr>
          <w:rFonts w:ascii="Times New Roman" w:hAnsi="Times New Roman" w:eastAsia="黑体"/>
          <w:b/>
          <w:sz w:val="32"/>
        </w:rPr>
        <w:t>二、国内资金参与境外证券投资的途径全景分析</w:t>
      </w:r>
    </w:p>
    <w:p>
      <w:pPr>
        <w:spacing w:line="360" w:lineRule="auto" w:after="120" w:before="0"/>
        <w:ind w:firstLine="480"/>
        <w:jc w:val="both"/>
      </w:pPr>
      <w:r>
        <w:rPr>
          <w:rFonts w:ascii="Times New Roman" w:hAnsi="Times New Roman" w:eastAsia="宋体"/>
          <w:b w:val="0"/>
          <w:sz w:val="24"/>
        </w:rPr>
        <w:t>目前国内资金参与境外证券投资的途径，可按"是否资金出境"与"适用主体"两个维度划分为三大类：第一类为面向普通投资者的公开渠道；第二类为面向合格投资者与机构的试点或专属通道；第三类为已被封堵或正在清理的灰色路径。以下逐类分析。</w:t>
      </w:r>
    </w:p>
    <w:p>
      <w:pPr>
        <w:spacing w:line="360" w:lineRule="auto" w:after="120" w:before="200"/>
        <w:jc w:val="both"/>
      </w:pPr>
      <w:r>
        <w:rPr>
          <w:rFonts w:ascii="Times New Roman" w:hAnsi="Times New Roman" w:eastAsia="黑体"/>
          <w:b/>
          <w:sz w:val="27"/>
        </w:rPr>
        <w:t>（一）全景图谱</w:t>
      </w:r>
    </w:p>
    <w:tbl>
      <w:tblPr>
        <w:tblStyle w:val="TableGrid"/>
        <w:tblW w:type="auto" w:w="0"/>
        <w:jc w:val="center"/>
        <w:tblLook w:firstColumn="1" w:firstRow="1" w:lastColumn="0" w:lastRow="0" w:noHBand="0" w:noVBand="1" w:val="04A0"/>
      </w:tblPr>
      <w:tblGrid>
        <w:gridCol w:w="1729"/>
        <w:gridCol w:w="1729"/>
        <w:gridCol w:w="1729"/>
        <w:gridCol w:w="1729"/>
        <w:gridCol w:w="1729"/>
      </w:tblGrid>
      <w:tr>
        <w:tc>
          <w:tcPr>
            <w:tcW w:type="dxa" w:w="1361"/>
            <w:shd w:val="clear" w:color="auto" w:fill="D9E2F3"/>
          </w:tcPr>
          <w:p>
            <w:pPr>
              <w:spacing w:line="240" w:lineRule="auto"/>
              <w:jc w:val="center"/>
            </w:pPr>
            <w:r>
              <w:rPr>
                <w:rFonts w:ascii="Times New Roman" w:hAnsi="Times New Roman" w:eastAsia="黑体"/>
                <w:b/>
                <w:sz w:val="18"/>
              </w:rPr>
              <w:t>途径</w:t>
            </w:r>
          </w:p>
        </w:tc>
        <w:tc>
          <w:tcPr>
            <w:tcW w:type="dxa" w:w="1587"/>
            <w:shd w:val="clear" w:color="auto" w:fill="D9E2F3"/>
          </w:tcPr>
          <w:p>
            <w:pPr>
              <w:spacing w:line="240" w:lineRule="auto"/>
              <w:jc w:val="center"/>
            </w:pPr>
            <w:r>
              <w:rPr>
                <w:rFonts w:ascii="Times New Roman" w:hAnsi="Times New Roman" w:eastAsia="黑体"/>
                <w:b/>
                <w:sz w:val="18"/>
              </w:rPr>
              <w:t>适用主体</w:t>
            </w:r>
          </w:p>
        </w:tc>
        <w:tc>
          <w:tcPr>
            <w:tcW w:type="dxa" w:w="1304"/>
            <w:shd w:val="clear" w:color="auto" w:fill="D9E2F3"/>
          </w:tcPr>
          <w:p>
            <w:pPr>
              <w:spacing w:line="240" w:lineRule="auto"/>
              <w:jc w:val="center"/>
            </w:pPr>
            <w:r>
              <w:rPr>
                <w:rFonts w:ascii="Times New Roman" w:hAnsi="Times New Roman" w:eastAsia="黑体"/>
                <w:b/>
                <w:sz w:val="18"/>
              </w:rPr>
              <w:t>资金是否出境</w:t>
            </w:r>
          </w:p>
        </w:tc>
        <w:tc>
          <w:tcPr>
            <w:tcW w:type="dxa" w:w="2268"/>
            <w:shd w:val="clear" w:color="auto" w:fill="D9E2F3"/>
          </w:tcPr>
          <w:p>
            <w:pPr>
              <w:spacing w:line="240" w:lineRule="auto"/>
              <w:jc w:val="center"/>
            </w:pPr>
            <w:r>
              <w:rPr>
                <w:rFonts w:ascii="Times New Roman" w:hAnsi="Times New Roman" w:eastAsia="黑体"/>
                <w:b/>
                <w:sz w:val="18"/>
              </w:rPr>
              <w:t>可投范围</w:t>
            </w:r>
          </w:p>
        </w:tc>
        <w:tc>
          <w:tcPr>
            <w:tcW w:type="dxa" w:w="1871"/>
            <w:shd w:val="clear" w:color="auto" w:fill="D9E2F3"/>
          </w:tcPr>
          <w:p>
            <w:pPr>
              <w:spacing w:line="240" w:lineRule="auto"/>
              <w:jc w:val="center"/>
            </w:pPr>
            <w:r>
              <w:rPr>
                <w:rFonts w:ascii="Times New Roman" w:hAnsi="Times New Roman" w:eastAsia="黑体"/>
                <w:b/>
                <w:sz w:val="18"/>
              </w:rPr>
              <w:t>核心瓶颈</w:t>
            </w:r>
          </w:p>
        </w:tc>
      </w:tr>
      <w:tr>
        <w:tc>
          <w:tcPr>
            <w:tcW w:type="dxa" w:w="1361"/>
          </w:tcPr>
          <w:p>
            <w:pPr>
              <w:spacing w:line="240" w:lineRule="auto" w:after="40"/>
            </w:pPr>
            <w:r>
              <w:rPr>
                <w:rFonts w:ascii="Times New Roman" w:hAnsi="Times New Roman" w:eastAsia="宋体"/>
                <w:b/>
                <w:sz w:val="18"/>
              </w:rPr>
              <w:t>港股通（含南向ETF）</w:t>
            </w:r>
          </w:p>
        </w:tc>
        <w:tc>
          <w:tcPr>
            <w:tcW w:type="dxa" w:w="1587"/>
          </w:tcPr>
          <w:p>
            <w:pPr>
              <w:spacing w:line="240" w:lineRule="auto" w:after="40"/>
            </w:pPr>
            <w:r>
              <w:rPr>
                <w:rFonts w:ascii="Times New Roman" w:hAnsi="Times New Roman" w:eastAsia="宋体"/>
                <w:b w:val="0"/>
                <w:sz w:val="18"/>
              </w:rPr>
              <w:t>个人（50万元资产门槛）及机构</w:t>
            </w:r>
          </w:p>
        </w:tc>
        <w:tc>
          <w:tcPr>
            <w:tcW w:type="dxa" w:w="1304"/>
          </w:tcPr>
          <w:p>
            <w:pPr>
              <w:spacing w:line="240" w:lineRule="auto" w:after="40"/>
            </w:pPr>
            <w:r>
              <w:rPr>
                <w:rFonts w:ascii="Times New Roman" w:hAnsi="Times New Roman" w:eastAsia="宋体"/>
                <w:b w:val="0"/>
                <w:sz w:val="18"/>
              </w:rPr>
              <w:t>否（闭环交易、本地结算）</w:t>
            </w:r>
          </w:p>
        </w:tc>
        <w:tc>
          <w:tcPr>
            <w:tcW w:type="dxa" w:w="2268"/>
          </w:tcPr>
          <w:p>
            <w:pPr>
              <w:spacing w:line="240" w:lineRule="auto" w:after="40"/>
            </w:pPr>
            <w:r>
              <w:rPr>
                <w:rFonts w:ascii="Times New Roman" w:hAnsi="Times New Roman" w:eastAsia="宋体"/>
                <w:b w:val="0"/>
                <w:sz w:val="18"/>
              </w:rPr>
              <w:t>港股及部分香港上市ETF（含挂钩美日韩澳市场）</w:t>
            </w:r>
          </w:p>
        </w:tc>
        <w:tc>
          <w:tcPr>
            <w:tcW w:type="dxa" w:w="1871"/>
          </w:tcPr>
          <w:p>
            <w:pPr>
              <w:spacing w:line="240" w:lineRule="auto" w:after="40"/>
            </w:pPr>
            <w:r>
              <w:rPr>
                <w:rFonts w:ascii="Times New Roman" w:hAnsi="Times New Roman" w:eastAsia="宋体"/>
                <w:b w:val="0"/>
                <w:sz w:val="18"/>
              </w:rPr>
              <w:t>不覆盖美股直接标的；H股等部分标的股息红利税负较重</w:t>
            </w:r>
          </w:p>
        </w:tc>
      </w:tr>
      <w:tr>
        <w:tc>
          <w:tcPr>
            <w:tcW w:type="dxa" w:w="1361"/>
          </w:tcPr>
          <w:p>
            <w:pPr>
              <w:spacing w:line="240" w:lineRule="auto" w:after="40"/>
            </w:pPr>
            <w:r>
              <w:rPr>
                <w:rFonts w:ascii="Times New Roman" w:hAnsi="Times New Roman" w:eastAsia="宋体"/>
                <w:b/>
                <w:sz w:val="18"/>
              </w:rPr>
              <w:t>QDII（公募/专户/银行理财）</w:t>
            </w:r>
          </w:p>
        </w:tc>
        <w:tc>
          <w:tcPr>
            <w:tcW w:type="dxa" w:w="1587"/>
          </w:tcPr>
          <w:p>
            <w:pPr>
              <w:spacing w:line="240" w:lineRule="auto" w:after="40"/>
            </w:pPr>
            <w:r>
              <w:rPr>
                <w:rFonts w:ascii="Times New Roman" w:hAnsi="Times New Roman" w:eastAsia="宋体"/>
                <w:b w:val="0"/>
                <w:sz w:val="18"/>
              </w:rPr>
              <w:t>普通公众投资者</w:t>
            </w:r>
          </w:p>
        </w:tc>
        <w:tc>
          <w:tcPr>
            <w:tcW w:type="dxa" w:w="1304"/>
          </w:tcPr>
          <w:p>
            <w:pPr>
              <w:spacing w:line="240" w:lineRule="auto" w:after="40"/>
            </w:pPr>
            <w:r>
              <w:rPr>
                <w:rFonts w:ascii="Times New Roman" w:hAnsi="Times New Roman" w:eastAsia="宋体"/>
                <w:b w:val="0"/>
                <w:sz w:val="18"/>
              </w:rPr>
              <w:t>是（占用机构QDII额度）</w:t>
            </w:r>
          </w:p>
        </w:tc>
        <w:tc>
          <w:tcPr>
            <w:tcW w:type="dxa" w:w="2268"/>
          </w:tcPr>
          <w:p>
            <w:pPr>
              <w:spacing w:line="240" w:lineRule="auto" w:after="40"/>
            </w:pPr>
            <w:r>
              <w:rPr>
                <w:rFonts w:ascii="Times New Roman" w:hAnsi="Times New Roman" w:eastAsia="宋体"/>
                <w:b w:val="0"/>
                <w:sz w:val="18"/>
              </w:rPr>
              <w:t>境外股票、债券、商品、REITs等标准化资产</w:t>
            </w:r>
          </w:p>
        </w:tc>
        <w:tc>
          <w:tcPr>
            <w:tcW w:type="dxa" w:w="1871"/>
          </w:tcPr>
          <w:p>
            <w:pPr>
              <w:spacing w:line="240" w:lineRule="auto" w:after="40"/>
            </w:pPr>
            <w:r>
              <w:rPr>
                <w:rFonts w:ascii="Times New Roman" w:hAnsi="Times New Roman" w:eastAsia="宋体"/>
                <w:b w:val="0"/>
                <w:sz w:val="18"/>
              </w:rPr>
              <w:t>额度稀缺，热门产品限购、封盘、场内溢价；私募难直接获额度</w:t>
            </w:r>
          </w:p>
        </w:tc>
      </w:tr>
      <w:tr>
        <w:tc>
          <w:tcPr>
            <w:tcW w:type="dxa" w:w="1361"/>
          </w:tcPr>
          <w:p>
            <w:pPr>
              <w:spacing w:line="240" w:lineRule="auto" w:after="40"/>
            </w:pPr>
            <w:r>
              <w:rPr>
                <w:rFonts w:ascii="Times New Roman" w:hAnsi="Times New Roman" w:eastAsia="宋体"/>
                <w:b/>
                <w:sz w:val="18"/>
              </w:rPr>
              <w:t>跨境理财通</w:t>
            </w:r>
          </w:p>
        </w:tc>
        <w:tc>
          <w:tcPr>
            <w:tcW w:type="dxa" w:w="1587"/>
          </w:tcPr>
          <w:p>
            <w:pPr>
              <w:spacing w:line="240" w:lineRule="auto" w:after="40"/>
            </w:pPr>
            <w:r>
              <w:rPr>
                <w:rFonts w:ascii="Times New Roman" w:hAnsi="Times New Roman" w:eastAsia="宋体"/>
                <w:b w:val="0"/>
                <w:sz w:val="18"/>
              </w:rPr>
              <w:t>粤港澳大湾区内地居民</w:t>
            </w:r>
          </w:p>
        </w:tc>
        <w:tc>
          <w:tcPr>
            <w:tcW w:type="dxa" w:w="1304"/>
          </w:tcPr>
          <w:p>
            <w:pPr>
              <w:spacing w:line="240" w:lineRule="auto" w:after="40"/>
            </w:pPr>
            <w:r>
              <w:rPr>
                <w:rFonts w:ascii="Times New Roman" w:hAnsi="Times New Roman" w:eastAsia="宋体"/>
                <w:b w:val="0"/>
                <w:sz w:val="18"/>
              </w:rPr>
              <w:t>是（闭环资金管道）</w:t>
            </w:r>
          </w:p>
        </w:tc>
        <w:tc>
          <w:tcPr>
            <w:tcW w:type="dxa" w:w="2268"/>
          </w:tcPr>
          <w:p>
            <w:pPr>
              <w:spacing w:line="240" w:lineRule="auto" w:after="40"/>
            </w:pPr>
            <w:r>
              <w:rPr>
                <w:rFonts w:ascii="Times New Roman" w:hAnsi="Times New Roman" w:eastAsia="宋体"/>
                <w:b w:val="0"/>
                <w:sz w:val="18"/>
              </w:rPr>
              <w:t>港澳合资格理财、基金、存款等</w:t>
            </w:r>
          </w:p>
        </w:tc>
        <w:tc>
          <w:tcPr>
            <w:tcW w:type="dxa" w:w="1871"/>
          </w:tcPr>
          <w:p>
            <w:pPr>
              <w:spacing w:line="240" w:lineRule="auto" w:after="40"/>
            </w:pPr>
            <w:r>
              <w:rPr>
                <w:rFonts w:ascii="Times New Roman" w:hAnsi="Times New Roman" w:eastAsia="宋体"/>
                <w:b w:val="0"/>
                <w:sz w:val="18"/>
              </w:rPr>
              <w:t>地域限制明显；以固收类为主，股票类选择有限；个人额度有限</w:t>
            </w:r>
          </w:p>
        </w:tc>
      </w:tr>
      <w:tr>
        <w:tc>
          <w:tcPr>
            <w:tcW w:type="dxa" w:w="1361"/>
          </w:tcPr>
          <w:p>
            <w:pPr>
              <w:spacing w:line="240" w:lineRule="auto" w:after="40"/>
            </w:pPr>
            <w:r>
              <w:rPr>
                <w:rFonts w:ascii="Times New Roman" w:hAnsi="Times New Roman" w:eastAsia="宋体"/>
                <w:b/>
                <w:sz w:val="18"/>
              </w:rPr>
              <w:t>香港互认基金</w:t>
            </w:r>
          </w:p>
        </w:tc>
        <w:tc>
          <w:tcPr>
            <w:tcW w:type="dxa" w:w="1587"/>
          </w:tcPr>
          <w:p>
            <w:pPr>
              <w:spacing w:line="240" w:lineRule="auto" w:after="40"/>
            </w:pPr>
            <w:r>
              <w:rPr>
                <w:rFonts w:ascii="Times New Roman" w:hAnsi="Times New Roman" w:eastAsia="宋体"/>
                <w:b w:val="0"/>
                <w:sz w:val="18"/>
              </w:rPr>
              <w:t>普通基金投资者</w:t>
            </w:r>
          </w:p>
        </w:tc>
        <w:tc>
          <w:tcPr>
            <w:tcW w:type="dxa" w:w="1304"/>
          </w:tcPr>
          <w:p>
            <w:pPr>
              <w:spacing w:line="240" w:lineRule="auto" w:after="40"/>
            </w:pPr>
            <w:r>
              <w:rPr>
                <w:rFonts w:ascii="Times New Roman" w:hAnsi="Times New Roman" w:eastAsia="宋体"/>
                <w:b w:val="0"/>
                <w:sz w:val="18"/>
              </w:rPr>
              <w:t>是（独立互认额度）</w:t>
            </w:r>
          </w:p>
        </w:tc>
        <w:tc>
          <w:tcPr>
            <w:tcW w:type="dxa" w:w="2268"/>
          </w:tcPr>
          <w:p>
            <w:pPr>
              <w:spacing w:line="240" w:lineRule="auto" w:after="40"/>
            </w:pPr>
            <w:r>
              <w:rPr>
                <w:rFonts w:ascii="Times New Roman" w:hAnsi="Times New Roman" w:eastAsia="宋体"/>
                <w:b w:val="0"/>
                <w:sz w:val="18"/>
              </w:rPr>
              <w:t>香港证监会认可的基金</w:t>
            </w:r>
          </w:p>
        </w:tc>
        <w:tc>
          <w:tcPr>
            <w:tcW w:type="dxa" w:w="1871"/>
          </w:tcPr>
          <w:p>
            <w:pPr>
              <w:spacing w:line="240" w:lineRule="auto" w:after="40"/>
            </w:pPr>
            <w:r>
              <w:rPr>
                <w:rFonts w:ascii="Times New Roman" w:hAnsi="Times New Roman" w:eastAsia="宋体"/>
                <w:b w:val="0"/>
                <w:sz w:val="18"/>
              </w:rPr>
              <w:t>产品数量有限、销售比例受限；赎回周期较长；投向以港股与亚太为主</w:t>
            </w:r>
          </w:p>
        </w:tc>
      </w:tr>
      <w:tr>
        <w:tc>
          <w:tcPr>
            <w:tcW w:type="dxa" w:w="1361"/>
          </w:tcPr>
          <w:p>
            <w:pPr>
              <w:spacing w:line="240" w:lineRule="auto" w:after="40"/>
            </w:pPr>
            <w:r>
              <w:rPr>
                <w:rFonts w:ascii="Times New Roman" w:hAnsi="Times New Roman" w:eastAsia="宋体"/>
                <w:b/>
                <w:sz w:val="18"/>
              </w:rPr>
              <w:t>QDLP</w:t>
            </w:r>
          </w:p>
        </w:tc>
        <w:tc>
          <w:tcPr>
            <w:tcW w:type="dxa" w:w="1587"/>
          </w:tcPr>
          <w:p>
            <w:pPr>
              <w:spacing w:line="240" w:lineRule="auto" w:after="40"/>
            </w:pPr>
            <w:r>
              <w:rPr>
                <w:rFonts w:ascii="Times New Roman" w:hAnsi="Times New Roman" w:eastAsia="宋体"/>
                <w:b w:val="0"/>
                <w:sz w:val="18"/>
              </w:rPr>
              <w:t>合格境内有限合伙人（高净值及机构）</w:t>
            </w:r>
          </w:p>
        </w:tc>
        <w:tc>
          <w:tcPr>
            <w:tcW w:type="dxa" w:w="1304"/>
          </w:tcPr>
          <w:p>
            <w:pPr>
              <w:spacing w:line="240" w:lineRule="auto" w:after="40"/>
            </w:pPr>
            <w:r>
              <w:rPr>
                <w:rFonts w:ascii="Times New Roman" w:hAnsi="Times New Roman" w:eastAsia="宋体"/>
                <w:b w:val="0"/>
                <w:sz w:val="18"/>
              </w:rPr>
              <w:t>是（试点总额度管控）</w:t>
            </w:r>
          </w:p>
        </w:tc>
        <w:tc>
          <w:tcPr>
            <w:tcW w:type="dxa" w:w="2268"/>
          </w:tcPr>
          <w:p>
            <w:pPr>
              <w:spacing w:line="240" w:lineRule="auto" w:after="40"/>
            </w:pPr>
            <w:r>
              <w:rPr>
                <w:rFonts w:ascii="Times New Roman" w:hAnsi="Times New Roman" w:eastAsia="宋体"/>
                <w:b w:val="0"/>
                <w:sz w:val="18"/>
              </w:rPr>
              <w:t>境外一二级市场、另类资产；上海试点已扩展至境外期货与衍生品</w:t>
            </w:r>
          </w:p>
        </w:tc>
        <w:tc>
          <w:tcPr>
            <w:tcW w:type="dxa" w:w="1871"/>
          </w:tcPr>
          <w:p>
            <w:pPr>
              <w:spacing w:line="240" w:lineRule="auto" w:after="40"/>
            </w:pPr>
            <w:r>
              <w:rPr>
                <w:rFonts w:ascii="Times New Roman" w:hAnsi="Times New Roman" w:eastAsia="宋体"/>
                <w:b w:val="0"/>
                <w:sz w:val="18"/>
              </w:rPr>
              <w:t>试点地域有限；总额度严格管控，新增可流通额度极为稀缺；门槛高、期限长、流动性弱</w:t>
            </w:r>
          </w:p>
        </w:tc>
      </w:tr>
      <w:tr>
        <w:tc>
          <w:tcPr>
            <w:tcW w:type="dxa" w:w="1361"/>
          </w:tcPr>
          <w:p>
            <w:pPr>
              <w:spacing w:line="240" w:lineRule="auto" w:after="40"/>
            </w:pPr>
            <w:r>
              <w:rPr>
                <w:rFonts w:ascii="Times New Roman" w:hAnsi="Times New Roman" w:eastAsia="宋体"/>
                <w:b/>
                <w:sz w:val="18"/>
              </w:rPr>
              <w:t>QDIE</w:t>
            </w:r>
          </w:p>
        </w:tc>
        <w:tc>
          <w:tcPr>
            <w:tcW w:type="dxa" w:w="1587"/>
          </w:tcPr>
          <w:p>
            <w:pPr>
              <w:spacing w:line="240" w:lineRule="auto" w:after="40"/>
            </w:pPr>
            <w:r>
              <w:rPr>
                <w:rFonts w:ascii="Times New Roman" w:hAnsi="Times New Roman" w:eastAsia="宋体"/>
                <w:b w:val="0"/>
                <w:sz w:val="18"/>
              </w:rPr>
              <w:t>深圳等地合格投资者（需较高资产或收入证明）</w:t>
            </w:r>
          </w:p>
        </w:tc>
        <w:tc>
          <w:tcPr>
            <w:tcW w:type="dxa" w:w="1304"/>
          </w:tcPr>
          <w:p>
            <w:pPr>
              <w:spacing w:line="240" w:lineRule="auto" w:after="40"/>
            </w:pPr>
            <w:r>
              <w:rPr>
                <w:rFonts w:ascii="Times New Roman" w:hAnsi="Times New Roman" w:eastAsia="宋体"/>
                <w:b w:val="0"/>
                <w:sz w:val="18"/>
              </w:rPr>
              <w:t>是（按项目逐笔备案）</w:t>
            </w:r>
          </w:p>
        </w:tc>
        <w:tc>
          <w:tcPr>
            <w:tcW w:type="dxa" w:w="2268"/>
          </w:tcPr>
          <w:p>
            <w:pPr>
              <w:spacing w:line="240" w:lineRule="auto" w:after="40"/>
            </w:pPr>
            <w:r>
              <w:rPr>
                <w:rFonts w:ascii="Times New Roman" w:hAnsi="Times New Roman" w:eastAsia="宋体"/>
                <w:b w:val="0"/>
                <w:sz w:val="18"/>
              </w:rPr>
              <w:t>境外一级、一级半及二级市场，含非标资产</w:t>
            </w:r>
          </w:p>
        </w:tc>
        <w:tc>
          <w:tcPr>
            <w:tcW w:type="dxa" w:w="1871"/>
          </w:tcPr>
          <w:p>
            <w:pPr>
              <w:spacing w:line="240" w:lineRule="auto" w:after="40"/>
            </w:pPr>
            <w:r>
              <w:rPr>
                <w:rFonts w:ascii="Times New Roman" w:hAnsi="Times New Roman" w:eastAsia="宋体"/>
                <w:b w:val="0"/>
                <w:sz w:val="18"/>
              </w:rPr>
              <w:t>仅深圳、北京、海南等地试点；逐笔备案，落地周期较长</w:t>
            </w:r>
          </w:p>
        </w:tc>
      </w:tr>
      <w:tr>
        <w:tc>
          <w:tcPr>
            <w:tcW w:type="dxa" w:w="1361"/>
          </w:tcPr>
          <w:p>
            <w:pPr>
              <w:spacing w:line="240" w:lineRule="auto" w:after="40"/>
            </w:pPr>
            <w:r>
              <w:rPr>
                <w:rFonts w:ascii="Times New Roman" w:hAnsi="Times New Roman" w:eastAsia="宋体"/>
                <w:b/>
                <w:sz w:val="18"/>
              </w:rPr>
              <w:t>ODI境外直接投资</w:t>
            </w:r>
          </w:p>
        </w:tc>
        <w:tc>
          <w:tcPr>
            <w:tcW w:type="dxa" w:w="1587"/>
          </w:tcPr>
          <w:p>
            <w:pPr>
              <w:spacing w:line="240" w:lineRule="auto" w:after="40"/>
            </w:pPr>
            <w:r>
              <w:rPr>
                <w:rFonts w:ascii="Times New Roman" w:hAnsi="Times New Roman" w:eastAsia="宋体"/>
                <w:b w:val="0"/>
                <w:sz w:val="18"/>
              </w:rPr>
              <w:t>境内企业（产业类投资主体）</w:t>
            </w:r>
          </w:p>
        </w:tc>
        <w:tc>
          <w:tcPr>
            <w:tcW w:type="dxa" w:w="1304"/>
          </w:tcPr>
          <w:p>
            <w:pPr>
              <w:spacing w:line="240" w:lineRule="auto" w:after="40"/>
            </w:pPr>
            <w:r>
              <w:rPr>
                <w:rFonts w:ascii="Times New Roman" w:hAnsi="Times New Roman" w:eastAsia="宋体"/>
                <w:b w:val="0"/>
                <w:sz w:val="18"/>
              </w:rPr>
              <w:t>是（多部门备案）</w:t>
            </w:r>
          </w:p>
        </w:tc>
        <w:tc>
          <w:tcPr>
            <w:tcW w:type="dxa" w:w="2268"/>
          </w:tcPr>
          <w:p>
            <w:pPr>
              <w:spacing w:line="240" w:lineRule="auto" w:after="40"/>
            </w:pPr>
            <w:r>
              <w:rPr>
                <w:rFonts w:ascii="Times New Roman" w:hAnsi="Times New Roman" w:eastAsia="宋体"/>
                <w:b w:val="0"/>
                <w:sz w:val="18"/>
              </w:rPr>
              <w:t>境外企业股权等实体投资</w:t>
            </w:r>
          </w:p>
        </w:tc>
        <w:tc>
          <w:tcPr>
            <w:tcW w:type="dxa" w:w="1871"/>
          </w:tcPr>
          <w:p>
            <w:pPr>
              <w:spacing w:line="240" w:lineRule="auto" w:after="40"/>
            </w:pPr>
            <w:r>
              <w:rPr>
                <w:rFonts w:ascii="Times New Roman" w:hAnsi="Times New Roman" w:eastAsia="宋体"/>
                <w:b w:val="0"/>
                <w:sz w:val="18"/>
              </w:rPr>
              <w:t>需发改、商务、外汇多部门备案，周期长；不适用纯证券投资；联动模式已收紧</w:t>
            </w:r>
          </w:p>
        </w:tc>
      </w:tr>
      <w:tr>
        <w:tc>
          <w:tcPr>
            <w:tcW w:type="dxa" w:w="1361"/>
          </w:tcPr>
          <w:p>
            <w:pPr>
              <w:spacing w:line="240" w:lineRule="auto" w:after="40"/>
            </w:pPr>
            <w:r>
              <w:rPr>
                <w:rFonts w:ascii="Times New Roman" w:hAnsi="Times New Roman" w:eastAsia="宋体"/>
                <w:b/>
                <w:sz w:val="18"/>
              </w:rPr>
              <w:t>跨境收益互换（TRS）</w:t>
            </w:r>
          </w:p>
        </w:tc>
        <w:tc>
          <w:tcPr>
            <w:tcW w:type="dxa" w:w="1587"/>
          </w:tcPr>
          <w:p>
            <w:pPr>
              <w:spacing w:line="240" w:lineRule="auto" w:after="40"/>
            </w:pPr>
            <w:r>
              <w:rPr>
                <w:rFonts w:ascii="Times New Roman" w:hAnsi="Times New Roman" w:eastAsia="宋体"/>
                <w:b w:val="0"/>
                <w:sz w:val="18"/>
              </w:rPr>
              <w:t>专业机构投资者</w:t>
            </w:r>
          </w:p>
        </w:tc>
        <w:tc>
          <w:tcPr>
            <w:tcW w:type="dxa" w:w="1304"/>
          </w:tcPr>
          <w:p>
            <w:pPr>
              <w:spacing w:line="240" w:lineRule="auto" w:after="40"/>
            </w:pPr>
            <w:r>
              <w:rPr>
                <w:rFonts w:ascii="Times New Roman" w:hAnsi="Times New Roman" w:eastAsia="宋体"/>
                <w:b w:val="0"/>
                <w:sz w:val="18"/>
              </w:rPr>
              <w:t>否（人民币保证金、净额结算）</w:t>
            </w:r>
          </w:p>
        </w:tc>
        <w:tc>
          <w:tcPr>
            <w:tcW w:type="dxa" w:w="2268"/>
          </w:tcPr>
          <w:p>
            <w:pPr>
              <w:spacing w:line="240" w:lineRule="auto" w:after="40"/>
            </w:pPr>
            <w:r>
              <w:rPr>
                <w:rFonts w:ascii="Times New Roman" w:hAnsi="Times New Roman" w:eastAsia="宋体"/>
                <w:b w:val="0"/>
                <w:sz w:val="18"/>
              </w:rPr>
              <w:t>港、美、日、新及部分欧洲市场的股票、指数、ETF、期货等</w:t>
            </w:r>
          </w:p>
        </w:tc>
        <w:tc>
          <w:tcPr>
            <w:tcW w:type="dxa" w:w="1871"/>
          </w:tcPr>
          <w:p>
            <w:pPr>
              <w:spacing w:line="240" w:lineRule="auto" w:after="40"/>
            </w:pPr>
            <w:r>
              <w:rPr>
                <w:rFonts w:ascii="Times New Roman" w:hAnsi="Times New Roman" w:eastAsia="宋体"/>
                <w:b w:val="0"/>
                <w:sz w:val="18"/>
              </w:rPr>
              <w:t>仅约9家头部券商具备资格；额度受券商跨境额度管控</w:t>
            </w:r>
          </w:p>
        </w:tc>
      </w:tr>
      <w:tr>
        <w:tc>
          <w:tcPr>
            <w:tcW w:type="dxa" w:w="1361"/>
          </w:tcPr>
          <w:p>
            <w:pPr>
              <w:spacing w:line="240" w:lineRule="auto" w:after="40"/>
            </w:pPr>
            <w:r>
              <w:rPr>
                <w:rFonts w:ascii="Times New Roman" w:hAnsi="Times New Roman" w:eastAsia="宋体"/>
                <w:b/>
                <w:sz w:val="18"/>
              </w:rPr>
              <w:t>互联网券商绕道开户</w:t>
            </w:r>
          </w:p>
        </w:tc>
        <w:tc>
          <w:tcPr>
            <w:tcW w:type="dxa" w:w="1587"/>
          </w:tcPr>
          <w:p>
            <w:pPr>
              <w:spacing w:line="240" w:lineRule="auto" w:after="40"/>
            </w:pPr>
            <w:r>
              <w:rPr>
                <w:rFonts w:ascii="Times New Roman" w:hAnsi="Times New Roman" w:eastAsia="宋体"/>
                <w:b w:val="0"/>
                <w:sz w:val="18"/>
              </w:rPr>
              <w:t>境内自然人（违规）</w:t>
            </w:r>
          </w:p>
        </w:tc>
        <w:tc>
          <w:tcPr>
            <w:tcW w:type="dxa" w:w="1304"/>
          </w:tcPr>
          <w:p>
            <w:pPr>
              <w:spacing w:line="240" w:lineRule="auto" w:after="40"/>
            </w:pPr>
            <w:r>
              <w:rPr>
                <w:rFonts w:ascii="Times New Roman" w:hAnsi="Times New Roman" w:eastAsia="宋体"/>
                <w:b w:val="0"/>
                <w:sz w:val="18"/>
              </w:rPr>
              <w:t>变相出境（属违规）</w:t>
            </w:r>
          </w:p>
        </w:tc>
        <w:tc>
          <w:tcPr>
            <w:tcW w:type="dxa" w:w="2268"/>
          </w:tcPr>
          <w:p>
            <w:pPr>
              <w:spacing w:line="240" w:lineRule="auto" w:after="40"/>
            </w:pPr>
            <w:r>
              <w:rPr>
                <w:rFonts w:ascii="Times New Roman" w:hAnsi="Times New Roman" w:eastAsia="宋体"/>
                <w:b w:val="0"/>
                <w:sz w:val="18"/>
              </w:rPr>
              <w:t>港美股等</w:t>
            </w:r>
          </w:p>
        </w:tc>
        <w:tc>
          <w:tcPr>
            <w:tcW w:type="dxa" w:w="1871"/>
          </w:tcPr>
          <w:p>
            <w:pPr>
              <w:spacing w:line="240" w:lineRule="auto" w:after="40"/>
            </w:pPr>
            <w:r>
              <w:rPr>
                <w:rFonts w:ascii="Times New Roman" w:hAnsi="Times New Roman" w:eastAsia="宋体"/>
                <w:b w:val="0"/>
                <w:sz w:val="18"/>
              </w:rPr>
              <w:t>已被行政处罚并限制，境内只出不进；2年整治期满后全面关停境内服务</w:t>
            </w:r>
          </w:p>
        </w:tc>
      </w:tr>
    </w:tbl>
    <w:p>
      <w:pPr>
        <w:spacing w:after="40"/>
      </w:pPr>
    </w:p>
    <w:p>
      <w:pPr>
        <w:spacing w:line="360" w:lineRule="auto" w:after="120" w:before="200"/>
        <w:jc w:val="both"/>
      </w:pPr>
      <w:r>
        <w:rPr>
          <w:rFonts w:ascii="Times New Roman" w:hAnsi="Times New Roman" w:eastAsia="黑体"/>
          <w:b/>
          <w:sz w:val="27"/>
        </w:rPr>
        <w:t>（二）面向普通投资者的公开渠道</w:t>
      </w:r>
    </w:p>
    <w:p>
      <w:pPr>
        <w:spacing w:line="360" w:lineRule="auto" w:after="80" w:before="160"/>
        <w:jc w:val="both"/>
      </w:pPr>
      <w:r>
        <w:rPr>
          <w:rFonts w:ascii="Times New Roman" w:hAnsi="Times New Roman" w:eastAsia="黑体"/>
          <w:b/>
          <w:sz w:val="24"/>
        </w:rPr>
        <w:t>1. 港股通</w:t>
      </w:r>
    </w:p>
    <w:p>
      <w:pPr>
        <w:spacing w:line="360" w:lineRule="auto" w:after="120" w:before="0"/>
        <w:ind w:firstLine="480"/>
        <w:jc w:val="both"/>
      </w:pPr>
      <w:r>
        <w:rPr>
          <w:rFonts w:ascii="Times New Roman" w:hAnsi="Times New Roman" w:eastAsia="宋体"/>
          <w:b w:val="0"/>
          <w:sz w:val="24"/>
        </w:rPr>
        <w:t>港股通是监管明确指出的合规"主干道"之一，特点是闭环交易、本地结算，资金不出境但直通港股，适合具备较高风险承受力的成熟投资者。但其约束同样明显：准入门槛为前20个交易日日均资产不低于人民币50万元；标的范围限于港股及部分香港上市ETF，不覆盖美股直接标的；且通过港股通持有H股等部分标的，需承担20%的股息红利税。对以美股为核心配置方向的产品而言，港股通无法承载主要策略。</w:t>
      </w:r>
    </w:p>
    <w:p>
      <w:pPr>
        <w:spacing w:line="360" w:lineRule="auto" w:after="80" w:before="160"/>
        <w:jc w:val="both"/>
      </w:pPr>
      <w:r>
        <w:rPr>
          <w:rFonts w:ascii="Times New Roman" w:hAnsi="Times New Roman" w:eastAsia="黑体"/>
          <w:b/>
          <w:sz w:val="24"/>
        </w:rPr>
        <w:t>2. QDII</w:t>
      </w:r>
    </w:p>
    <w:p>
      <w:pPr>
        <w:spacing w:line="360" w:lineRule="auto" w:after="120" w:before="0"/>
        <w:ind w:firstLine="480"/>
        <w:jc w:val="both"/>
      </w:pPr>
      <w:r>
        <w:rPr>
          <w:rFonts w:ascii="Times New Roman" w:hAnsi="Times New Roman" w:eastAsia="宋体"/>
          <w:b w:val="0"/>
          <w:sz w:val="24"/>
        </w:rPr>
        <w:t>QDII是普惠型的间接投资工具，由基金公司、银行、保险资管等持牌机构发起，面向公众发售，覆盖美股、港股、债券等多类资产，投资者无资产门槛，无需单独申请外汇额度。但其核心瓶颈始终是额度。据公开统计，截至2026年一季度末QDII投资额度约为1739亿美元，虽持续扩容，但相对境内庞大的全球配置需求仍属稀缺，热门QDII产品频繁出现限购、封盘与场内溢价。更重要的是，私募机构极难直接获得QDII额度，专户类QDII通道监管亦已收紧，市场现存主要为历史存量额度，难以承接大规模新增配置需求。</w:t>
      </w:r>
    </w:p>
    <w:p>
      <w:pPr>
        <w:spacing w:line="360" w:lineRule="auto" w:after="80" w:before="160"/>
        <w:jc w:val="both"/>
      </w:pPr>
      <w:r>
        <w:rPr>
          <w:rFonts w:ascii="Times New Roman" w:hAnsi="Times New Roman" w:eastAsia="黑体"/>
          <w:b/>
          <w:sz w:val="24"/>
        </w:rPr>
        <w:t>3. 跨境理财通与香港互认基金</w:t>
      </w:r>
    </w:p>
    <w:p>
      <w:pPr>
        <w:spacing w:line="360" w:lineRule="auto" w:after="120" w:before="0"/>
        <w:ind w:firstLine="480"/>
        <w:jc w:val="both"/>
      </w:pPr>
      <w:r>
        <w:rPr>
          <w:rFonts w:ascii="Times New Roman" w:hAnsi="Times New Roman" w:eastAsia="宋体"/>
          <w:b w:val="0"/>
          <w:sz w:val="24"/>
        </w:rPr>
        <w:t>跨境理财通自2021年启动试点，目前已在粤港澳大湾区推行，允许大湾区居民通过银行渠道双向投资对方市场的合规金融产品，实行资金闭环与产品白名单制。其约束在于地域限制明显，受益群体集中于大湾区居民，全国性覆盖尚需时日；产品以固收类为主，股票类选择有限，且个人额度有限。香港互认基金作为QDII的补充，产品数量有限、销售比例受限，赎回周期通常为T+7至T+10，投向以港股与亚太市场为主，美股品种较少。</w:t>
      </w:r>
    </w:p>
    <w:p>
      <w:pPr>
        <w:spacing w:line="360" w:lineRule="auto" w:after="120" w:before="200"/>
        <w:jc w:val="both"/>
      </w:pPr>
      <w:r>
        <w:rPr>
          <w:rFonts w:ascii="Times New Roman" w:hAnsi="Times New Roman" w:eastAsia="黑体"/>
          <w:b/>
          <w:sz w:val="27"/>
        </w:rPr>
        <w:t>（三）面向合格投资者与机构的通道</w:t>
      </w:r>
    </w:p>
    <w:p>
      <w:pPr>
        <w:spacing w:line="360" w:lineRule="auto" w:after="80" w:before="160"/>
        <w:jc w:val="both"/>
      </w:pPr>
      <w:r>
        <w:rPr>
          <w:rFonts w:ascii="Times New Roman" w:hAnsi="Times New Roman" w:eastAsia="黑体"/>
          <w:b/>
          <w:sz w:val="24"/>
        </w:rPr>
        <w:t>1. QDLP 与 QDIE</w:t>
      </w:r>
    </w:p>
    <w:p>
      <w:pPr>
        <w:spacing w:line="360" w:lineRule="auto" w:after="120" w:before="0"/>
        <w:ind w:firstLine="480"/>
        <w:jc w:val="both"/>
      </w:pPr>
      <w:r>
        <w:rPr>
          <w:rFonts w:ascii="Times New Roman" w:hAnsi="Times New Roman" w:eastAsia="宋体"/>
          <w:b w:val="0"/>
          <w:sz w:val="24"/>
        </w:rPr>
        <w:t>QDLP（合格境内有限合伙人）与QDIE（合格境内投资企业）定位于高净值与机构投资者，可触达境外私募股权、对冲基金等另类资产，投资范围显著宽于QDII。上海于2026年3月发布新版QDLP试点办法，首次允许外资管理人在沪设立QDLP基金，并将可投资范围扩展至境外期货、衍生品及绿色能源项目股权；QDIE由深圳首创，按项目逐笔备案，投资范围涵盖境外一级、一级半及二级市场。</w:t>
      </w:r>
    </w:p>
    <w:p>
      <w:pPr>
        <w:spacing w:line="360" w:lineRule="auto" w:after="120" w:before="0"/>
        <w:ind w:firstLine="480"/>
        <w:jc w:val="both"/>
      </w:pPr>
      <w:r>
        <w:rPr>
          <w:rFonts w:ascii="Times New Roman" w:hAnsi="Times New Roman" w:eastAsia="宋体"/>
          <w:b w:val="0"/>
          <w:sz w:val="24"/>
        </w:rPr>
        <w:t>但其现实约束同样突出：一是门槛高，QDLP通常要求个人金融资产不低于300万元或机构净资产不低于1000万元，单笔认缴金额门槛亦较高；二是总量稀缺，QDLP试点实行总额度严格管控，据市场信息，当前市场内新增可流通额度极为稀缺，2026年以来使用量高度集中于少数持牌机构；三是流动性弱，投资周期长，且涉及境外衍生品交易需额外提供风控模型说明、投资标的需提前向地方金融监管局报备，审批周期较长。对于需要常态化、高频调整的组合管理而言，额度紧缺与落地周期长是两大硬性短板。</w:t>
      </w:r>
    </w:p>
    <w:p>
      <w:pPr>
        <w:spacing w:line="360" w:lineRule="auto" w:after="80" w:before="160"/>
        <w:jc w:val="both"/>
      </w:pPr>
      <w:r>
        <w:rPr>
          <w:rFonts w:ascii="Times New Roman" w:hAnsi="Times New Roman" w:eastAsia="黑体"/>
          <w:b/>
          <w:sz w:val="24"/>
        </w:rPr>
        <w:t>2. ODI 境外直接投资</w:t>
      </w:r>
    </w:p>
    <w:p>
      <w:pPr>
        <w:spacing w:line="360" w:lineRule="auto" w:after="120" w:before="0"/>
        <w:ind w:firstLine="480"/>
        <w:jc w:val="both"/>
      </w:pPr>
      <w:r>
        <w:rPr>
          <w:rFonts w:ascii="Times New Roman" w:hAnsi="Times New Roman" w:eastAsia="宋体"/>
          <w:b w:val="0"/>
          <w:sz w:val="24"/>
        </w:rPr>
        <w:t>ODI需经发改、商务、外汇多部门联合备案，主要面向有境外实体投资需求的产业类主体，常规审批周期较长，难以匹配灵活调整的组合管理需求。此前市场存在的由地方产业平台联动境内资金共同申报额度的操作模式已全面收紧。对以二级市场证券投资为主的私募产品而言，ODI并非适用通道。</w:t>
      </w:r>
    </w:p>
    <w:p>
      <w:pPr>
        <w:spacing w:line="360" w:lineRule="auto" w:after="80" w:before="160"/>
        <w:jc w:val="both"/>
      </w:pPr>
      <w:r>
        <w:rPr>
          <w:rFonts w:ascii="Times New Roman" w:hAnsi="Times New Roman" w:eastAsia="黑体"/>
          <w:b/>
          <w:sz w:val="24"/>
        </w:rPr>
        <w:t>3. 跨境收益互换（TRS）</w:t>
      </w:r>
    </w:p>
    <w:p>
      <w:pPr>
        <w:spacing w:line="360" w:lineRule="auto" w:after="120" w:before="0"/>
        <w:ind w:firstLine="480"/>
        <w:jc w:val="both"/>
      </w:pPr>
      <w:r>
        <w:rPr>
          <w:rFonts w:ascii="Times New Roman" w:hAnsi="Times New Roman" w:eastAsia="宋体"/>
          <w:b w:val="0"/>
          <w:sz w:val="24"/>
        </w:rPr>
        <w:t>跨境收益互换属于场外金融衍生品业务，指境内机构与境内持牌券商一对一协商签订互换协议，在不直接持有境外资产、本金不出境的前提下，获得挂钩境外标的经济敞口的全部收益或亏损。其覆盖面包括中国香港、美国、日本、新加坡及部分欧洲市场的股票、指数、ETF与期货等标的，交易机制相对灵活，合约期限一般不超过12个月、可提前终止，且既可以做多也可以做空，可满足风险管理与策略交易的多元需求。</w:t>
      </w:r>
    </w:p>
    <w:p>
      <w:pPr>
        <w:spacing w:line="360" w:lineRule="auto" w:after="120" w:before="0"/>
        <w:ind w:firstLine="480"/>
        <w:jc w:val="both"/>
      </w:pPr>
      <w:r>
        <w:rPr>
          <w:rFonts w:ascii="Times New Roman" w:hAnsi="Times New Roman" w:eastAsia="宋体"/>
          <w:b w:val="0"/>
          <w:sz w:val="24"/>
        </w:rPr>
        <w:t>其约束在于：仅取得跨境业务试点资格的头部券商方可展业；交易对手方须符合专业机构投资者标准并签署SAC主协议等文件；额度受券商跨境额度管控。详见第三章。</w:t>
      </w:r>
    </w:p>
    <w:p>
      <w:pPr>
        <w:spacing w:line="360" w:lineRule="auto" w:after="120" w:before="200"/>
        <w:jc w:val="both"/>
      </w:pPr>
      <w:r>
        <w:rPr>
          <w:rFonts w:ascii="Times New Roman" w:hAnsi="Times New Roman" w:eastAsia="黑体"/>
          <w:b/>
          <w:sz w:val="27"/>
        </w:rPr>
        <w:t>（四）已被封堵的灰色路径</w:t>
      </w:r>
    </w:p>
    <w:p>
      <w:pPr>
        <w:spacing w:line="360" w:lineRule="auto" w:after="120" w:before="0"/>
        <w:ind w:firstLine="480"/>
        <w:jc w:val="both"/>
      </w:pPr>
      <w:r>
        <w:rPr>
          <w:rFonts w:ascii="Times New Roman" w:hAnsi="Times New Roman" w:eastAsia="宋体"/>
          <w:b w:val="0"/>
          <w:sz w:val="24"/>
        </w:rPr>
        <w:t>互联网券商绕道开户与本轮被限制的在港券商内地存量账户，均属于被清理的对象。其法律问题有二：一是个人每年5万美元的便利化购汇额度仅限于经常项目用途，不允许用于境外证券投资，内地居民通过香港账户投资在法律上属违规；二是境外机构未经中国证监会批准在境内展业本身即具有非法性质。随着存量清理推进与2年整治期满后境内服务的全面关停，这部分需求必然向合规通道迁移。</w:t>
      </w:r>
    </w:p>
    <w:p>
      <w:pPr>
        <w:spacing w:line="360" w:lineRule="auto" w:after="120" w:before="200"/>
        <w:jc w:val="both"/>
      </w:pPr>
      <w:r>
        <w:rPr>
          <w:rFonts w:ascii="Times New Roman" w:hAnsi="Times New Roman" w:eastAsia="黑体"/>
          <w:b/>
          <w:sz w:val="27"/>
        </w:rPr>
        <w:t>（五）小结：额度是所有通道的总闸门</w:t>
      </w:r>
    </w:p>
    <w:p>
      <w:pPr>
        <w:spacing w:line="360" w:lineRule="auto" w:after="160" w:before="80"/>
        <w:ind w:left="240" w:right="240"/>
        <w:shd w:val="clear" w:color="auto" w:fill="FFF2CC"/>
      </w:pPr>
      <w:r>
        <w:rPr>
          <w:rFonts w:ascii="Times New Roman" w:hAnsi="Times New Roman" w:eastAsia="楷体"/>
          <w:b w:val="0"/>
          <w:sz w:val="22"/>
        </w:rPr>
        <w:t>梳理上述途径可以得出一个清晰判断：除港股通与跨境收益互换外，其余通道几乎全部受制于"额度"这一总闸门——QDII额度稀缺、QDLP新增额度极为有限、QDIE需逐笔备案、跨境理财通受地域与产品白名单约束、互认基金受销售比例限制。而港股通虽无额度约束，却不覆盖美股直接标的。因此，对于以美股为核心配置方向、且需要常态化调仓的私募产品而言，跨境收益互换是当前最具现实可行性的通道。</w:t>
      </w:r>
    </w:p>
    <w:p>
      <w:pPr>
        <w:spacing w:line="360" w:lineRule="auto" w:after="120" w:before="0"/>
        <w:ind w:firstLine="480"/>
        <w:jc w:val="both"/>
      </w:pPr>
      <w:r>
        <w:rPr>
          <w:rFonts w:ascii="Times New Roman" w:hAnsi="Times New Roman" w:eastAsia="宋体"/>
          <w:b w:val="0"/>
          <w:sz w:val="24"/>
        </w:rPr>
        <w:t>这也解释了近年来的行业现象：在QDII长期额度紧张、跨境理财通标的有限、以及互联网券商渠道接连收紧的多重背景下，跨境收益互换成为私募布局美股与境外指数的主流工具之一，业务规模一度快速扩张。</w:t>
      </w:r>
    </w:p>
    <w:p>
      <w:pPr>
        <w:spacing w:line="360" w:lineRule="auto" w:after="160" w:before="320"/>
        <w:jc w:val="both"/>
      </w:pPr>
      <w:r>
        <w:rPr>
          <w:rFonts w:ascii="Times New Roman" w:hAnsi="Times New Roman" w:eastAsia="黑体"/>
          <w:b/>
          <w:sz w:val="32"/>
        </w:rPr>
        <w:t>三、跨境收益互换的运作机制与制度框架</w:t>
      </w:r>
    </w:p>
    <w:p>
      <w:pPr>
        <w:spacing w:line="360" w:lineRule="auto" w:after="120" w:before="200"/>
        <w:jc w:val="both"/>
      </w:pPr>
      <w:r>
        <w:rPr>
          <w:rFonts w:ascii="Times New Roman" w:hAnsi="Times New Roman" w:eastAsia="黑体"/>
          <w:b/>
          <w:sz w:val="27"/>
        </w:rPr>
        <w:t>（一）交易结构</w:t>
      </w:r>
    </w:p>
    <w:tbl>
      <w:tblPr>
        <w:tblStyle w:val="TableGrid"/>
        <w:tblW w:type="auto" w:w="0"/>
        <w:jc w:val="center"/>
        <w:tblLook w:firstColumn="1" w:firstRow="1" w:lastColumn="0" w:lastRow="0" w:noHBand="0" w:noVBand="1" w:val="04A0"/>
      </w:tblPr>
      <w:tblGrid>
        <w:gridCol w:w="2882"/>
        <w:gridCol w:w="2882"/>
        <w:gridCol w:w="2882"/>
      </w:tblGrid>
      <w:tr>
        <w:tc>
          <w:tcPr>
            <w:tcW w:type="dxa" w:w="1020"/>
            <w:shd w:val="clear" w:color="auto" w:fill="D9E2F3"/>
          </w:tcPr>
          <w:p>
            <w:pPr>
              <w:spacing w:line="240" w:lineRule="auto"/>
              <w:jc w:val="center"/>
            </w:pPr>
            <w:r>
              <w:rPr>
                <w:rFonts w:ascii="Times New Roman" w:hAnsi="Times New Roman" w:eastAsia="黑体"/>
                <w:b/>
                <w:sz w:val="20"/>
              </w:rPr>
              <w:t>环节</w:t>
            </w:r>
          </w:p>
        </w:tc>
        <w:tc>
          <w:tcPr>
            <w:tcW w:type="dxa" w:w="3742"/>
            <w:shd w:val="clear" w:color="auto" w:fill="D9E2F3"/>
          </w:tcPr>
          <w:p>
            <w:pPr>
              <w:spacing w:line="240" w:lineRule="auto"/>
              <w:jc w:val="center"/>
            </w:pPr>
            <w:r>
              <w:rPr>
                <w:rFonts w:ascii="Times New Roman" w:hAnsi="Times New Roman" w:eastAsia="黑体"/>
                <w:b/>
                <w:sz w:val="20"/>
              </w:rPr>
              <w:t>主体与操作</w:t>
            </w:r>
          </w:p>
        </w:tc>
        <w:tc>
          <w:tcPr>
            <w:tcW w:type="dxa" w:w="3628"/>
            <w:shd w:val="clear" w:color="auto" w:fill="D9E2F3"/>
          </w:tcPr>
          <w:p>
            <w:pPr>
              <w:spacing w:line="240" w:lineRule="auto"/>
              <w:jc w:val="center"/>
            </w:pPr>
            <w:r>
              <w:rPr>
                <w:rFonts w:ascii="Times New Roman" w:hAnsi="Times New Roman" w:eastAsia="黑体"/>
                <w:b/>
                <w:sz w:val="20"/>
              </w:rPr>
              <w:t>法律性质</w:t>
            </w:r>
          </w:p>
        </w:tc>
      </w:tr>
      <w:tr>
        <w:tc>
          <w:tcPr>
            <w:tcW w:type="dxa" w:w="1020"/>
          </w:tcPr>
          <w:p>
            <w:pPr>
              <w:spacing w:line="240" w:lineRule="auto" w:after="40"/>
            </w:pPr>
            <w:r>
              <w:rPr>
                <w:rFonts w:ascii="Times New Roman" w:hAnsi="Times New Roman" w:eastAsia="宋体"/>
                <w:b/>
                <w:sz w:val="20"/>
              </w:rPr>
              <w:t>募集端</w:t>
            </w:r>
          </w:p>
        </w:tc>
        <w:tc>
          <w:tcPr>
            <w:tcW w:type="dxa" w:w="3742"/>
          </w:tcPr>
          <w:p>
            <w:pPr>
              <w:spacing w:line="240" w:lineRule="auto" w:after="40"/>
            </w:pPr>
            <w:r>
              <w:rPr>
                <w:rFonts w:ascii="Times New Roman" w:hAnsi="Times New Roman" w:eastAsia="宋体"/>
                <w:b w:val="0"/>
                <w:sz w:val="20"/>
              </w:rPr>
              <w:t>境内合格投资者认购境内依法备案的私募证券投资基金</w:t>
            </w:r>
          </w:p>
        </w:tc>
        <w:tc>
          <w:tcPr>
            <w:tcW w:type="dxa" w:w="3628"/>
          </w:tcPr>
          <w:p>
            <w:pPr>
              <w:spacing w:line="240" w:lineRule="auto" w:after="40"/>
            </w:pPr>
            <w:r>
              <w:rPr>
                <w:rFonts w:ascii="Times New Roman" w:hAnsi="Times New Roman" w:eastAsia="宋体"/>
                <w:b w:val="0"/>
                <w:sz w:val="20"/>
              </w:rPr>
              <w:t>受《证券投资基金法》及私募监管规则约束</w:t>
            </w:r>
          </w:p>
        </w:tc>
      </w:tr>
      <w:tr>
        <w:tc>
          <w:tcPr>
            <w:tcW w:type="dxa" w:w="1020"/>
          </w:tcPr>
          <w:p>
            <w:pPr>
              <w:spacing w:line="240" w:lineRule="auto" w:after="40"/>
            </w:pPr>
            <w:r>
              <w:rPr>
                <w:rFonts w:ascii="Times New Roman" w:hAnsi="Times New Roman" w:eastAsia="宋体"/>
                <w:b/>
                <w:sz w:val="20"/>
              </w:rPr>
              <w:t>产品端</w:t>
            </w:r>
          </w:p>
        </w:tc>
        <w:tc>
          <w:tcPr>
            <w:tcW w:type="dxa" w:w="3742"/>
          </w:tcPr>
          <w:p>
            <w:pPr>
              <w:spacing w:line="240" w:lineRule="auto" w:after="40"/>
            </w:pPr>
            <w:r>
              <w:rPr>
                <w:rFonts w:ascii="Times New Roman" w:hAnsi="Times New Roman" w:eastAsia="宋体"/>
                <w:b w:val="0"/>
                <w:sz w:val="20"/>
              </w:rPr>
              <w:t>基金产品作为专业机构投资者参与</w:t>
            </w:r>
          </w:p>
        </w:tc>
        <w:tc>
          <w:tcPr>
            <w:tcW w:type="dxa" w:w="3628"/>
          </w:tcPr>
          <w:p>
            <w:pPr>
              <w:spacing w:line="240" w:lineRule="auto" w:after="40"/>
            </w:pPr>
            <w:r>
              <w:rPr>
                <w:rFonts w:ascii="Times New Roman" w:hAnsi="Times New Roman" w:eastAsia="宋体"/>
                <w:b w:val="0"/>
                <w:sz w:val="20"/>
              </w:rPr>
              <w:t>符合《证券期货投资者适当性管理办法》专业机构投资者标准</w:t>
            </w:r>
          </w:p>
        </w:tc>
      </w:tr>
      <w:tr>
        <w:tc>
          <w:tcPr>
            <w:tcW w:type="dxa" w:w="1020"/>
          </w:tcPr>
          <w:p>
            <w:pPr>
              <w:spacing w:line="240" w:lineRule="auto" w:after="40"/>
            </w:pPr>
            <w:r>
              <w:rPr>
                <w:rFonts w:ascii="Times New Roman" w:hAnsi="Times New Roman" w:eastAsia="宋体"/>
                <w:b/>
                <w:sz w:val="20"/>
              </w:rPr>
              <w:t>协议端</w:t>
            </w:r>
          </w:p>
        </w:tc>
        <w:tc>
          <w:tcPr>
            <w:tcW w:type="dxa" w:w="3742"/>
          </w:tcPr>
          <w:p>
            <w:pPr>
              <w:spacing w:line="240" w:lineRule="auto" w:after="40"/>
            </w:pPr>
            <w:r>
              <w:rPr>
                <w:rFonts w:ascii="Times New Roman" w:hAnsi="Times New Roman" w:eastAsia="宋体"/>
                <w:b w:val="0"/>
                <w:sz w:val="20"/>
              </w:rPr>
              <w:t>与境内持牌券商签署SAC主协议、补充协议及交易确认书</w:t>
            </w:r>
          </w:p>
        </w:tc>
        <w:tc>
          <w:tcPr>
            <w:tcW w:type="dxa" w:w="3628"/>
          </w:tcPr>
          <w:p>
            <w:pPr>
              <w:spacing w:line="240" w:lineRule="auto" w:after="40"/>
            </w:pPr>
            <w:r>
              <w:rPr>
                <w:rFonts w:ascii="Times New Roman" w:hAnsi="Times New Roman" w:eastAsia="宋体"/>
                <w:b w:val="0"/>
                <w:sz w:val="20"/>
              </w:rPr>
              <w:t>受中证协《证券公司收益互换业务管理办法》规范</w:t>
            </w:r>
          </w:p>
        </w:tc>
      </w:tr>
      <w:tr>
        <w:tc>
          <w:tcPr>
            <w:tcW w:type="dxa" w:w="1020"/>
          </w:tcPr>
          <w:p>
            <w:pPr>
              <w:spacing w:line="240" w:lineRule="auto" w:after="40"/>
            </w:pPr>
            <w:r>
              <w:rPr>
                <w:rFonts w:ascii="Times New Roman" w:hAnsi="Times New Roman" w:eastAsia="宋体"/>
                <w:b/>
                <w:sz w:val="20"/>
              </w:rPr>
              <w:t>资金端</w:t>
            </w:r>
          </w:p>
        </w:tc>
        <w:tc>
          <w:tcPr>
            <w:tcW w:type="dxa" w:w="3742"/>
          </w:tcPr>
          <w:p>
            <w:pPr>
              <w:spacing w:line="240" w:lineRule="auto" w:after="40"/>
            </w:pPr>
            <w:r>
              <w:rPr>
                <w:rFonts w:ascii="Times New Roman" w:hAnsi="Times New Roman" w:eastAsia="宋体"/>
                <w:b w:val="0"/>
                <w:sz w:val="20"/>
              </w:rPr>
              <w:t>境内以人民币缴纳保证金，人民币净额结算</w:t>
            </w:r>
          </w:p>
        </w:tc>
        <w:tc>
          <w:tcPr>
            <w:tcW w:type="dxa" w:w="3628"/>
          </w:tcPr>
          <w:p>
            <w:pPr>
              <w:spacing w:line="240" w:lineRule="auto" w:after="40"/>
            </w:pPr>
            <w:r>
              <w:rPr>
                <w:rFonts w:ascii="Times New Roman" w:hAnsi="Times New Roman" w:eastAsia="宋体"/>
                <w:b w:val="0"/>
                <w:sz w:val="20"/>
              </w:rPr>
              <w:t>本金不出境，不发生实际换汇出境</w:t>
            </w:r>
          </w:p>
        </w:tc>
      </w:tr>
      <w:tr>
        <w:tc>
          <w:tcPr>
            <w:tcW w:type="dxa" w:w="1020"/>
          </w:tcPr>
          <w:p>
            <w:pPr>
              <w:spacing w:line="240" w:lineRule="auto" w:after="40"/>
            </w:pPr>
            <w:r>
              <w:rPr>
                <w:rFonts w:ascii="Times New Roman" w:hAnsi="Times New Roman" w:eastAsia="宋体"/>
                <w:b/>
                <w:sz w:val="20"/>
              </w:rPr>
              <w:t>对冲端</w:t>
            </w:r>
          </w:p>
        </w:tc>
        <w:tc>
          <w:tcPr>
            <w:tcW w:type="dxa" w:w="3742"/>
          </w:tcPr>
          <w:p>
            <w:pPr>
              <w:spacing w:line="240" w:lineRule="auto" w:after="40"/>
            </w:pPr>
            <w:r>
              <w:rPr>
                <w:rFonts w:ascii="Times New Roman" w:hAnsi="Times New Roman" w:eastAsia="宋体"/>
                <w:b w:val="0"/>
                <w:sz w:val="20"/>
              </w:rPr>
              <w:t>券商依据产品指令，通过其境外子公司完成对冲持仓</w:t>
            </w:r>
          </w:p>
        </w:tc>
        <w:tc>
          <w:tcPr>
            <w:tcW w:type="dxa" w:w="3628"/>
          </w:tcPr>
          <w:p>
            <w:pPr>
              <w:spacing w:line="240" w:lineRule="auto" w:after="40"/>
            </w:pPr>
            <w:r>
              <w:rPr>
                <w:rFonts w:ascii="Times New Roman" w:hAnsi="Times New Roman" w:eastAsia="宋体"/>
                <w:b w:val="0"/>
                <w:sz w:val="20"/>
              </w:rPr>
              <w:t>券商跨境业务试点资质项下的合规对冲</w:t>
            </w:r>
          </w:p>
        </w:tc>
      </w:tr>
      <w:tr>
        <w:tc>
          <w:tcPr>
            <w:tcW w:type="dxa" w:w="1020"/>
          </w:tcPr>
          <w:p>
            <w:pPr>
              <w:spacing w:line="240" w:lineRule="auto" w:after="40"/>
            </w:pPr>
            <w:r>
              <w:rPr>
                <w:rFonts w:ascii="Times New Roman" w:hAnsi="Times New Roman" w:eastAsia="宋体"/>
                <w:b/>
                <w:sz w:val="20"/>
              </w:rPr>
              <w:t>结算端</w:t>
            </w:r>
          </w:p>
        </w:tc>
        <w:tc>
          <w:tcPr>
            <w:tcW w:type="dxa" w:w="3742"/>
          </w:tcPr>
          <w:p>
            <w:pPr>
              <w:spacing w:line="240" w:lineRule="auto" w:after="40"/>
            </w:pPr>
            <w:r>
              <w:rPr>
                <w:rFonts w:ascii="Times New Roman" w:hAnsi="Times New Roman" w:eastAsia="宋体"/>
                <w:b w:val="0"/>
                <w:sz w:val="20"/>
              </w:rPr>
              <w:t>到期或中途结算损益，人民币净额交割</w:t>
            </w:r>
          </w:p>
        </w:tc>
        <w:tc>
          <w:tcPr>
            <w:tcW w:type="dxa" w:w="3628"/>
          </w:tcPr>
          <w:p>
            <w:pPr>
              <w:spacing w:line="240" w:lineRule="auto" w:after="40"/>
            </w:pPr>
            <w:r>
              <w:rPr>
                <w:rFonts w:ascii="Times New Roman" w:hAnsi="Times New Roman" w:eastAsia="宋体"/>
                <w:b w:val="0"/>
                <w:sz w:val="20"/>
              </w:rPr>
              <w:t>仅就收益部分进行现金流交换</w:t>
            </w:r>
          </w:p>
        </w:tc>
      </w:tr>
    </w:tbl>
    <w:p>
      <w:pPr>
        <w:spacing w:after="40"/>
      </w:pPr>
    </w:p>
    <w:p>
      <w:pPr>
        <w:spacing w:line="360" w:lineRule="auto" w:after="120" w:before="200"/>
        <w:jc w:val="both"/>
      </w:pPr>
      <w:r>
        <w:rPr>
          <w:rFonts w:ascii="Times New Roman" w:hAnsi="Times New Roman" w:eastAsia="黑体"/>
          <w:b/>
          <w:sz w:val="27"/>
        </w:rPr>
        <w:t>（二）制度与合规框架</w:t>
      </w:r>
    </w:p>
    <w:p>
      <w:pPr>
        <w:spacing w:line="360" w:lineRule="auto" w:after="80"/>
        <w:ind w:left="480" w:hanging="240"/>
      </w:pPr>
      <w:r>
        <w:rPr>
          <w:rFonts w:ascii="Times New Roman" w:hAnsi="Times New Roman" w:eastAsia="宋体"/>
          <w:b w:val="0"/>
          <w:sz w:val="24"/>
        </w:rPr>
        <w:t>· 业务规范：受中证协《证券公司收益互换业务管理办法》约束，交易对手方须具有资产配置、风险管理的真实需求，并符合专业机构投资者标准；产品参与的，应当为合规设立的非结构化产品。</w:t>
      </w:r>
    </w:p>
    <w:p>
      <w:pPr>
        <w:spacing w:line="360" w:lineRule="auto" w:after="80"/>
        <w:ind w:left="480" w:hanging="240"/>
      </w:pPr>
      <w:r>
        <w:rPr>
          <w:rFonts w:ascii="Times New Roman" w:hAnsi="Times New Roman" w:eastAsia="宋体"/>
          <w:b w:val="0"/>
          <w:sz w:val="24"/>
        </w:rPr>
        <w:t>· 机构资质：券商开展跨境收益互换业务须取得跨境业务试点资格，对资本实力、风险管理能力与境外子公司协同能力要求极高。</w:t>
      </w:r>
    </w:p>
    <w:p>
      <w:pPr>
        <w:spacing w:line="360" w:lineRule="auto" w:after="80"/>
        <w:ind w:left="480" w:hanging="240"/>
      </w:pPr>
      <w:r>
        <w:rPr>
          <w:rFonts w:ascii="Times New Roman" w:hAnsi="Times New Roman" w:eastAsia="宋体"/>
          <w:b w:val="0"/>
          <w:sz w:val="24"/>
        </w:rPr>
        <w:t>· 投资者适当性：穿透后的委托人中，单一投资者在产品中权益超过20%的，应当符合专业投资者标准。</w:t>
      </w:r>
    </w:p>
    <w:p>
      <w:pPr>
        <w:spacing w:line="360" w:lineRule="auto" w:after="80"/>
        <w:ind w:left="480" w:hanging="240"/>
      </w:pPr>
      <w:r>
        <w:rPr>
          <w:rFonts w:ascii="Times New Roman" w:hAnsi="Times New Roman" w:eastAsia="宋体"/>
          <w:b w:val="0"/>
          <w:sz w:val="24"/>
        </w:rPr>
        <w:t>· 外汇管理：资金以人民币形式留存境内，不发生实际换汇出境，双方仅就收益部分进行现金流交换并以人民币净额结算，从而大幅降低换汇成本与汇率风险敞口。</w:t>
      </w:r>
    </w:p>
    <w:p>
      <w:pPr>
        <w:spacing w:line="360" w:lineRule="auto" w:after="80"/>
        <w:ind w:left="480" w:hanging="240"/>
      </w:pPr>
      <w:r>
        <w:rPr>
          <w:rFonts w:ascii="Times New Roman" w:hAnsi="Times New Roman" w:eastAsia="宋体"/>
          <w:b w:val="0"/>
          <w:sz w:val="24"/>
        </w:rPr>
        <w:t>· 税务处理：投资者取得的是合约项下的净损益，不直接持有标的证券，因而无需在投资者层面处理境外股息预扣与红利税事项，相关处理由通道方在其境外持仓层面完成，并已内含于合约定价。</w:t>
      </w:r>
    </w:p>
    <w:p>
      <w:pPr>
        <w:spacing w:line="360" w:lineRule="auto" w:after="120" w:before="200"/>
        <w:jc w:val="both"/>
      </w:pPr>
      <w:r>
        <w:rPr>
          <w:rFonts w:ascii="Times New Roman" w:hAnsi="Times New Roman" w:eastAsia="黑体"/>
          <w:b/>
          <w:sz w:val="27"/>
        </w:rPr>
        <w:t>（三）供给格局与额度环境</w:t>
      </w:r>
    </w:p>
    <w:p>
      <w:pPr>
        <w:spacing w:line="360" w:lineRule="auto" w:after="120" w:before="0"/>
        <w:ind w:firstLine="480"/>
        <w:jc w:val="both"/>
      </w:pPr>
      <w:r>
        <w:rPr>
          <w:rFonts w:ascii="Times New Roman" w:hAnsi="Times New Roman" w:eastAsia="宋体"/>
          <w:b w:val="0"/>
          <w:sz w:val="24"/>
        </w:rPr>
        <w:t>目前具备跨境收益互换业务资格并实际展业的主要为中信证券、国泰海通证券、华泰证券、招商证券、广发证券、中金公司、中信建投、银河证券、申万宏源证券等头部券商，中小券商难以参与，头部券商亦有额度上限。</w:t>
      </w:r>
    </w:p>
    <w:p>
      <w:pPr>
        <w:spacing w:line="360" w:lineRule="auto" w:after="120" w:before="0"/>
        <w:ind w:firstLine="480"/>
        <w:jc w:val="both"/>
      </w:pPr>
      <w:r>
        <w:rPr>
          <w:rFonts w:ascii="Times New Roman" w:hAnsi="Times New Roman" w:eastAsia="宋体"/>
          <w:b w:val="0"/>
          <w:sz w:val="24"/>
        </w:rPr>
        <w:t>额度环境方面，监管对跨境收益互换的管控趋于严格：2024年以来已实施"不得净新增"的额度管控；2026年6月23日起，监管进一步要求券商暂停股票类跨境收益互换新增业务，存量只能减仓、到期了结，不允许新开仓与加仓续作，期货、债券类暂未受影响。业内反馈的执行口径为"只能卖出，不能换仓"。据业内估算，跨境股票类收益互换存量规模约在2000亿元至3000亿元量级。</w:t>
      </w:r>
    </w:p>
    <w:p>
      <w:pPr>
        <w:spacing w:line="360" w:lineRule="auto" w:after="160" w:before="80"/>
        <w:ind w:left="240" w:right="240"/>
        <w:shd w:val="clear" w:color="auto" w:fill="FFF2CC"/>
      </w:pPr>
      <w:r>
        <w:rPr>
          <w:rFonts w:ascii="Times New Roman" w:hAnsi="Times New Roman" w:eastAsia="楷体"/>
          <w:b w:val="0"/>
          <w:sz w:val="22"/>
        </w:rPr>
        <w:t>正是在这一背景下，瀚宇全球精选1号经公司确认，目前未受股票类跨境收益互换新增暂停的约束，仍可开仓美股ETF及美股股指期货。这一额度可得性，构成了产品当前最核心的竞争壁垒。</w:t>
      </w:r>
    </w:p>
    <w:p>
      <w:pPr>
        <w:spacing w:line="360" w:lineRule="auto" w:after="160" w:before="320"/>
        <w:jc w:val="both"/>
      </w:pPr>
      <w:r>
        <w:rPr>
          <w:rFonts w:ascii="Times New Roman" w:hAnsi="Times New Roman" w:eastAsia="黑体"/>
          <w:b/>
          <w:sz w:val="32"/>
        </w:rPr>
        <w:t>四、瀚宇全球精选1号采用跨境收益互换的通道优势</w:t>
      </w:r>
    </w:p>
    <w:p>
      <w:pPr>
        <w:spacing w:line="360" w:lineRule="auto" w:after="120" w:before="200"/>
        <w:jc w:val="both"/>
      </w:pPr>
      <w:r>
        <w:rPr>
          <w:rFonts w:ascii="Times New Roman" w:hAnsi="Times New Roman" w:eastAsia="黑体"/>
          <w:b/>
          <w:sz w:val="27"/>
        </w:rPr>
        <w:t>优势一：额度可得性——行业"只减不加"之下仍可实际建仓</w:t>
      </w:r>
    </w:p>
    <w:p>
      <w:pPr>
        <w:spacing w:line="360" w:lineRule="auto" w:after="120" w:before="0"/>
        <w:ind w:firstLine="480"/>
        <w:jc w:val="both"/>
      </w:pPr>
      <w:r>
        <w:rPr>
          <w:rFonts w:ascii="Times New Roman" w:hAnsi="Times New Roman" w:eastAsia="宋体"/>
          <w:b w:val="0"/>
          <w:sz w:val="24"/>
        </w:rPr>
        <w:t>这是当前最应被强调、也最难被复制的一项优势。如前所述，2026年6月23日起股票类跨境收益互换新增业务被普遍要求暂停，业内执行口径为"只能卖出，不能换仓"，部分依赖该工具获取海外敞口的机构已面临操作被动、策略难以为继的困境。瀚宇1号当前未受此约束，仍可开仓美股ETF与美股股指期货。</w:t>
      </w:r>
    </w:p>
    <w:p>
      <w:pPr>
        <w:spacing w:line="360" w:lineRule="auto" w:after="120" w:before="0"/>
        <w:ind w:firstLine="480"/>
        <w:jc w:val="both"/>
      </w:pPr>
      <w:r>
        <w:rPr>
          <w:rFonts w:ascii="Times New Roman" w:hAnsi="Times New Roman" w:eastAsia="宋体"/>
          <w:b w:val="0"/>
          <w:sz w:val="24"/>
        </w:rPr>
        <w:t>其价值在于策略的完整性得以保全：跌下来能补仓，涨上去能换股，财报前能调整结构，遇到错杀能逆势布局，而受限方只能被动等待或被动离场。据业内反馈，跨境收益互换额度一般优先投向规模较大、持仓稳健、长期合作的机构，小机构与高杠杆投机资金难以取得额度——这也从侧面印证了当前额度状态的稀缺性。</w:t>
      </w:r>
    </w:p>
    <w:p>
      <w:pPr>
        <w:spacing w:line="360" w:lineRule="auto" w:after="120" w:before="200"/>
        <w:jc w:val="both"/>
      </w:pPr>
      <w:r>
        <w:rPr>
          <w:rFonts w:ascii="Times New Roman" w:hAnsi="Times New Roman" w:eastAsia="黑体"/>
          <w:b/>
          <w:sz w:val="27"/>
        </w:rPr>
        <w:t>优势二：不占用QDII/QDLP/QDIE额度，绕开额度总闸门</w:t>
      </w:r>
    </w:p>
    <w:p>
      <w:pPr>
        <w:spacing w:line="360" w:lineRule="auto" w:after="120" w:before="0"/>
        <w:ind w:firstLine="480"/>
        <w:jc w:val="both"/>
      </w:pPr>
      <w:r>
        <w:rPr>
          <w:rFonts w:ascii="Times New Roman" w:hAnsi="Times New Roman" w:eastAsia="宋体"/>
          <w:b w:val="0"/>
          <w:sz w:val="24"/>
        </w:rPr>
        <w:t>额度是国内资金出海的总闸门，几乎所有资金出境类通道都被这道闸门卡住：QDII额度稀缺且私募难以直接获得，QDLP新增可流通额度极为有限，QDIE需逐笔备案且周期较长。跨境收益互换的资金以人民币保证金形式留存境内，本金不出境、不发生实际换汇，因此不占用QDII额度，也不占用QDLP、QDIE试点额度，在额度普遍紧张的环境中具备显著的供给优势。</w:t>
      </w:r>
    </w:p>
    <w:p>
      <w:pPr>
        <w:spacing w:line="360" w:lineRule="auto" w:after="120" w:before="200"/>
        <w:jc w:val="both"/>
      </w:pPr>
      <w:r>
        <w:rPr>
          <w:rFonts w:ascii="Times New Roman" w:hAnsi="Times New Roman" w:eastAsia="黑体"/>
          <w:b/>
          <w:sz w:val="27"/>
        </w:rPr>
        <w:t>优势三：合规确定性——双重持牌，不触本轮整治红线</w:t>
      </w:r>
    </w:p>
    <w:p>
      <w:pPr>
        <w:spacing w:line="360" w:lineRule="auto" w:after="120" w:before="0"/>
        <w:ind w:firstLine="480"/>
        <w:jc w:val="both"/>
      </w:pPr>
      <w:r>
        <w:rPr>
          <w:rFonts w:ascii="Times New Roman" w:hAnsi="Times New Roman" w:eastAsia="宋体"/>
          <w:b w:val="0"/>
          <w:sz w:val="24"/>
        </w:rPr>
        <w:t>本轮整治的判定链条为"内地身份个人 + 内地IP登录 + 境外券商零售账户"，三要素须同时成立。瀚宇1号的结构是：产品端为境内依法备案的私募证券投资基金（专业机构投资者）；交易端为境内持牌券商的跨境收益互换业务（受中证协业务管理办法规范）；资金端全程在境内以人民币完成。三要素无一匹配，因而既不受"只出不进"约束，也不受"内地身份不得新开账户"限制。</w:t>
      </w:r>
    </w:p>
    <w:p>
      <w:pPr>
        <w:spacing w:line="360" w:lineRule="auto" w:after="120" w:before="0"/>
        <w:ind w:firstLine="480"/>
        <w:jc w:val="both"/>
      </w:pPr>
      <w:r>
        <w:rPr>
          <w:rFonts w:ascii="Times New Roman" w:hAnsi="Times New Roman" w:eastAsia="宋体"/>
          <w:b w:val="0"/>
          <w:sz w:val="24"/>
        </w:rPr>
        <w:t>同时，由头部持牌券商担任交易对手方，产品权益受境内监管与SAC主协议双重保护，争议解决与履约保障适用境内法律框架，对手方信用风险亦显著低于境外中小机构，投资者保护水平优于境外零售账户模式。</w:t>
      </w:r>
    </w:p>
    <w:p>
      <w:pPr>
        <w:spacing w:line="360" w:lineRule="auto" w:after="120" w:before="200"/>
        <w:jc w:val="both"/>
      </w:pPr>
      <w:r>
        <w:rPr>
          <w:rFonts w:ascii="Times New Roman" w:hAnsi="Times New Roman" w:eastAsia="黑体"/>
          <w:b/>
          <w:sz w:val="27"/>
        </w:rPr>
        <w:t>优势四：资金不出境、不换汇，投资者端零跨境合规负担</w:t>
      </w:r>
    </w:p>
    <w:p>
      <w:pPr>
        <w:spacing w:line="360" w:lineRule="auto" w:after="120" w:before="0"/>
        <w:ind w:firstLine="480"/>
        <w:jc w:val="both"/>
      </w:pPr>
      <w:r>
        <w:rPr>
          <w:rFonts w:ascii="Times New Roman" w:hAnsi="Times New Roman" w:eastAsia="宋体"/>
          <w:b w:val="0"/>
          <w:sz w:val="24"/>
        </w:rPr>
        <w:t>投资者通过认购境内备案的基金产品参与，资金路径不涉及出境，因此不产生个人结售汇义务，也不涉及境外税务申报安排。这与"内地居民通过香港账户投资在法律上属违规"的情形，在源头上即已区隔。对投资者而言，无需境外银行账户、无需境外身份、无需自行办理购汇与境外税务申报，全流程在境内闭环完成。</w:t>
      </w:r>
    </w:p>
    <w:p>
      <w:pPr>
        <w:spacing w:line="360" w:lineRule="auto" w:after="120" w:before="0"/>
        <w:ind w:firstLine="480"/>
        <w:jc w:val="both"/>
      </w:pPr>
      <w:r>
        <w:rPr>
          <w:rFonts w:ascii="Times New Roman" w:hAnsi="Times New Roman" w:eastAsia="宋体"/>
          <w:b w:val="0"/>
          <w:sz w:val="24"/>
        </w:rPr>
        <w:t>同时，由于不实际换汇出境，产品亦规避了换汇成本，并显著降低了本金层面的汇率风险敞口。</w:t>
      </w:r>
    </w:p>
    <w:p>
      <w:pPr>
        <w:spacing w:line="360" w:lineRule="auto" w:after="120" w:before="200"/>
        <w:jc w:val="both"/>
      </w:pPr>
      <w:r>
        <w:rPr>
          <w:rFonts w:ascii="Times New Roman" w:hAnsi="Times New Roman" w:eastAsia="黑体"/>
          <w:b/>
          <w:sz w:val="27"/>
        </w:rPr>
        <w:t>优势五：标的可覆盖美股ETF与股指期货，具备对冲能力</w:t>
      </w:r>
    </w:p>
    <w:p>
      <w:pPr>
        <w:spacing w:line="360" w:lineRule="auto" w:after="120" w:before="0"/>
        <w:ind w:firstLine="480"/>
        <w:jc w:val="both"/>
      </w:pPr>
      <w:r>
        <w:rPr>
          <w:rFonts w:ascii="Times New Roman" w:hAnsi="Times New Roman" w:eastAsia="宋体"/>
          <w:b w:val="0"/>
          <w:sz w:val="24"/>
        </w:rPr>
        <w:t>对照其他通道：港股通不覆盖美股直接标的；跨境理财通以固收类为主、股票类选择有限；互认基金投向以港股与亚太为主、美股品种较少。瀚宇1号当前可开仓美股ETF与美股股指期货，带来两方面能力：</w:t>
      </w:r>
    </w:p>
    <w:p>
      <w:pPr>
        <w:spacing w:line="360" w:lineRule="auto" w:after="80"/>
        <w:ind w:left="480" w:hanging="240"/>
      </w:pPr>
      <w:r>
        <w:rPr>
          <w:rFonts w:ascii="Times New Roman" w:hAnsi="Times New Roman" w:eastAsia="宋体"/>
          <w:b w:val="0"/>
          <w:sz w:val="24"/>
        </w:rPr>
        <w:t>· 配置效率：通过ETF实现美股宽基与行业敞口的高效获取，交易成本与单一标的风险更可控，调仓效率更高。</w:t>
      </w:r>
    </w:p>
    <w:p>
      <w:pPr>
        <w:spacing w:line="360" w:lineRule="auto" w:after="80"/>
        <w:ind w:left="480" w:hanging="240"/>
      </w:pPr>
      <w:r>
        <w:rPr>
          <w:rFonts w:ascii="Times New Roman" w:hAnsi="Times New Roman" w:eastAsia="宋体"/>
          <w:b w:val="0"/>
          <w:sz w:val="24"/>
        </w:rPr>
        <w:t>· 风险管理：股指期货可用于系统性风险的快速对冲与仓位调节，在市场大幅波动时提供回撤管理工具。这是纯多头、无对冲工具的个人绕道账户完全不具备的能力，也是主动管理价值的直接体现。</w:t>
      </w:r>
    </w:p>
    <w:p>
      <w:pPr>
        <w:spacing w:line="360" w:lineRule="auto" w:after="120" w:before="200"/>
        <w:jc w:val="both"/>
      </w:pPr>
      <w:r>
        <w:rPr>
          <w:rFonts w:ascii="Times New Roman" w:hAnsi="Times New Roman" w:eastAsia="黑体"/>
          <w:b/>
          <w:sz w:val="27"/>
        </w:rPr>
        <w:t>优势六：交易权完整，且资金效率较高</w:t>
      </w:r>
    </w:p>
    <w:p>
      <w:pPr>
        <w:spacing w:line="360" w:lineRule="auto" w:after="120" w:before="0"/>
        <w:ind w:firstLine="480"/>
        <w:jc w:val="both"/>
      </w:pPr>
      <w:r>
        <w:rPr>
          <w:rFonts w:ascii="Times New Roman" w:hAnsi="Times New Roman" w:eastAsia="宋体"/>
          <w:b w:val="0"/>
          <w:sz w:val="24"/>
        </w:rPr>
        <w:t>对照受限账户"只能卖出、平仓、出金，不能新开仓、加仓、入金"的状态，瀚宇1号保持完整的双向交易权：建仓、加仓、减仓、调仓、止盈止损、到期续作，全流程畅通。此外，跨境收益互换以保证金形式交易，资金效率较高，并可根据需要嵌入杠杆或定制化结构，在额度与保证金约束范围内提升资金使用效率。</w:t>
      </w:r>
    </w:p>
    <w:p>
      <w:pPr>
        <w:spacing w:line="360" w:lineRule="auto" w:after="120" w:before="200"/>
        <w:jc w:val="both"/>
      </w:pPr>
      <w:r>
        <w:rPr>
          <w:rFonts w:ascii="Times New Roman" w:hAnsi="Times New Roman" w:eastAsia="黑体"/>
          <w:b/>
          <w:sz w:val="27"/>
        </w:rPr>
        <w:t>优势七：不受IP属地限制，运营连续性强</w:t>
      </w:r>
    </w:p>
    <w:p>
      <w:pPr>
        <w:spacing w:line="360" w:lineRule="auto" w:after="120" w:before="0"/>
        <w:ind w:firstLine="480"/>
        <w:jc w:val="both"/>
      </w:pPr>
      <w:r>
        <w:rPr>
          <w:rFonts w:ascii="Times New Roman" w:hAnsi="Times New Roman" w:eastAsia="宋体"/>
          <w:b w:val="0"/>
          <w:sz w:val="24"/>
        </w:rPr>
        <w:t>本轮限制的执行抓手是"登录IP是否显示在内地"，部分机构给出的豁免条件是取得中国香港身份证或符合条件的境外长期居住证明，对绝大多数境内投资者并不现实。瀚宇1号的交易指令通过境内券商的场外衍生品柜台完成，投资经理在境内办公场所即可正常操作，不存在客户端IP属地触发限制的问题，也不存在身份门槛，业务连续性不受跨境登录政策影响。</w:t>
      </w:r>
    </w:p>
    <w:p>
      <w:pPr>
        <w:spacing w:line="360" w:lineRule="auto" w:after="160" w:before="320"/>
        <w:jc w:val="both"/>
      </w:pPr>
      <w:r>
        <w:rPr>
          <w:rFonts w:ascii="Times New Roman" w:hAnsi="Times New Roman" w:eastAsia="黑体"/>
          <w:b/>
          <w:sz w:val="32"/>
        </w:rPr>
        <w:t>五、风险提示与持续跟踪事项</w:t>
      </w:r>
    </w:p>
    <w:p>
      <w:pPr>
        <w:spacing w:line="360" w:lineRule="auto" w:after="120" w:before="0"/>
        <w:ind w:firstLine="480"/>
        <w:jc w:val="both"/>
      </w:pPr>
      <w:r>
        <w:rPr>
          <w:rFonts w:ascii="Times New Roman" w:hAnsi="Times New Roman" w:eastAsia="宋体"/>
          <w:b w:val="0"/>
          <w:sz w:val="24"/>
        </w:rPr>
        <w:t>公司已确认基金合同与风险揭示书就跨境结构、通道方与额度风险作了充分披露，本章所列各项应与披露文件保持一致，并在与投资者沟通时如实提示。</w:t>
      </w:r>
    </w:p>
    <w:p>
      <w:pPr>
        <w:spacing w:line="360" w:lineRule="auto" w:after="120" w:before="200"/>
        <w:jc w:val="both"/>
      </w:pPr>
      <w:r>
        <w:rPr>
          <w:rFonts w:ascii="Times New Roman" w:hAnsi="Times New Roman" w:eastAsia="黑体"/>
          <w:b/>
          <w:sz w:val="27"/>
        </w:rPr>
        <w:t>1. 额度政策变动风险（头号跟踪项）</w:t>
      </w:r>
    </w:p>
    <w:p>
      <w:pPr>
        <w:spacing w:line="360" w:lineRule="auto" w:after="120" w:before="0"/>
        <w:ind w:firstLine="480"/>
        <w:jc w:val="both"/>
      </w:pPr>
      <w:r>
        <w:rPr>
          <w:rFonts w:ascii="Times New Roman" w:hAnsi="Times New Roman" w:eastAsia="宋体"/>
          <w:b w:val="0"/>
          <w:sz w:val="24"/>
        </w:rPr>
        <w:t>监管趋严是跨境收益互换业务的长期主基调，特别是在投资者适当性管理、保证金管理、风险监测等方面的要求只会越来越严格。公司确认目前未受股票类新增暂停的约束，但额度可得性属于动态变量，其持续性依赖于券商额度投放与监管政策走向。建议按月复核额度状态，并预留应急预案：若新增额度持续收紧，需提前规划降低海外仓位占比、延长合约期限以锁定存量敞口、或转向其他合规工具的替代方案。</w:t>
      </w:r>
    </w:p>
    <w:p>
      <w:pPr>
        <w:spacing w:line="360" w:lineRule="auto" w:after="120" w:before="200"/>
        <w:jc w:val="both"/>
      </w:pPr>
      <w:r>
        <w:rPr>
          <w:rFonts w:ascii="Times New Roman" w:hAnsi="Times New Roman" w:eastAsia="黑体"/>
          <w:b/>
          <w:sz w:val="27"/>
        </w:rPr>
        <w:t>2. 衍生品结构与交易风险</w:t>
      </w:r>
    </w:p>
    <w:p>
      <w:pPr>
        <w:spacing w:line="360" w:lineRule="auto" w:after="80"/>
        <w:ind w:left="480" w:hanging="240"/>
      </w:pPr>
      <w:r>
        <w:rPr>
          <w:rFonts w:ascii="Times New Roman" w:hAnsi="Times New Roman" w:eastAsia="宋体"/>
          <w:b w:val="0"/>
          <w:sz w:val="24"/>
        </w:rPr>
        <w:t>· 杠杆风险：以保证金形式交易，具备杠杆属性，标的资产下跌时亏损将被放大，并可能被要求及时追加保证金。</w:t>
      </w:r>
    </w:p>
    <w:p>
      <w:pPr>
        <w:spacing w:line="360" w:lineRule="auto" w:after="80"/>
        <w:ind w:left="480" w:hanging="240"/>
      </w:pPr>
      <w:r>
        <w:rPr>
          <w:rFonts w:ascii="Times New Roman" w:hAnsi="Times New Roman" w:eastAsia="宋体"/>
          <w:b w:val="0"/>
          <w:sz w:val="24"/>
        </w:rPr>
        <w:t>· 对手方信用风险：虽对手方为境内头部券商、风险显著低于境外中小机构，但场外衍生品仍存在对手方信用风险，需关注合约期限与集中度管理。</w:t>
      </w:r>
    </w:p>
    <w:p>
      <w:pPr>
        <w:spacing w:line="360" w:lineRule="auto" w:after="80"/>
        <w:ind w:left="480" w:hanging="240"/>
      </w:pPr>
      <w:r>
        <w:rPr>
          <w:rFonts w:ascii="Times New Roman" w:hAnsi="Times New Roman" w:eastAsia="宋体"/>
          <w:b w:val="0"/>
          <w:sz w:val="24"/>
        </w:rPr>
        <w:t>· 流动性风险：调仓需经历协议确认等环节，在市场波动剧烈或券商额度紧张时，调仓可能面临一定困难；合约期限一般不超过12个月，可提前终止，但续作受额度约束。</w:t>
      </w:r>
    </w:p>
    <w:p>
      <w:pPr>
        <w:spacing w:line="360" w:lineRule="auto" w:after="80"/>
        <w:ind w:left="480" w:hanging="240"/>
      </w:pPr>
      <w:r>
        <w:rPr>
          <w:rFonts w:ascii="Times New Roman" w:hAnsi="Times New Roman" w:eastAsia="宋体"/>
          <w:b w:val="0"/>
          <w:sz w:val="24"/>
        </w:rPr>
        <w:t>· 汇率风险：虽本金不出境，但挂钩标的以美元计价，若未进行汇率对冲，实际收益仍受汇率波动影响。</w:t>
      </w:r>
    </w:p>
    <w:p>
      <w:pPr>
        <w:spacing w:line="360" w:lineRule="auto" w:after="80"/>
        <w:ind w:left="480" w:hanging="240"/>
      </w:pPr>
      <w:r>
        <w:rPr>
          <w:rFonts w:ascii="Times New Roman" w:hAnsi="Times New Roman" w:eastAsia="宋体"/>
          <w:b w:val="0"/>
          <w:sz w:val="24"/>
        </w:rPr>
        <w:t>· 通道成本：跨境收益互换需向通道方支付固定端成本与相关费用，综合成本通常高于QDII、QDLP等传统渠道，需在收益测算与产品定价中充分计入。</w:t>
      </w:r>
    </w:p>
    <w:p>
      <w:pPr>
        <w:spacing w:line="360" w:lineRule="auto" w:after="120" w:before="200"/>
        <w:jc w:val="both"/>
      </w:pPr>
      <w:r>
        <w:rPr>
          <w:rFonts w:ascii="Times New Roman" w:hAnsi="Times New Roman" w:eastAsia="黑体"/>
          <w:b/>
          <w:sz w:val="27"/>
        </w:rPr>
        <w:t>3. 合规边界与披露义务</w:t>
      </w:r>
    </w:p>
    <w:p>
      <w:pPr>
        <w:spacing w:line="360" w:lineRule="auto" w:after="80"/>
        <w:ind w:left="480" w:hanging="240"/>
      </w:pPr>
      <w:r>
        <w:rPr>
          <w:rFonts w:ascii="Times New Roman" w:hAnsi="Times New Roman" w:eastAsia="宋体"/>
          <w:b w:val="0"/>
          <w:sz w:val="24"/>
        </w:rPr>
        <w:t>· 境外机构不得在境内开展营销推介、签约、开户、入金等服务，2年集中整治期满后还须全面关停境内网站与交易软件。产品的推介、投资者适当性管理、签约与资金募集须全部由境内持牌主体完成。</w:t>
      </w:r>
    </w:p>
    <w:p>
      <w:pPr>
        <w:spacing w:line="360" w:lineRule="auto" w:after="80"/>
        <w:ind w:left="480" w:hanging="240"/>
      </w:pPr>
      <w:r>
        <w:rPr>
          <w:rFonts w:ascii="Times New Roman" w:hAnsi="Times New Roman" w:eastAsia="宋体"/>
          <w:b w:val="0"/>
          <w:sz w:val="24"/>
        </w:rPr>
        <w:t>· 基金合同与风险揭示书已充分披露跨境结构、通道方与额度风险，建议在额度状态或政策发生重大变化时同步更新披露文件，保持动态一致。</w:t>
      </w:r>
    </w:p>
    <w:p>
      <w:pPr>
        <w:spacing w:line="360" w:lineRule="auto" w:after="80"/>
        <w:ind w:left="480" w:hanging="240"/>
      </w:pPr>
      <w:r>
        <w:rPr>
          <w:rFonts w:ascii="Times New Roman" w:hAnsi="Times New Roman" w:eastAsia="宋体"/>
          <w:b w:val="0"/>
          <w:sz w:val="24"/>
        </w:rPr>
        <w:t>· 对外沟通中应准确区分"境内自然人绕道开户（违规、已被清理）"与"境内持牌机构合规跨境配置（受政策支持）"，避免投资者将二者混同。</w:t>
      </w:r>
    </w:p>
    <w:p>
      <w:pPr>
        <w:spacing w:line="360" w:lineRule="auto" w:after="160" w:before="320"/>
        <w:jc w:val="both"/>
      </w:pPr>
      <w:r>
        <w:rPr>
          <w:rFonts w:ascii="Times New Roman" w:hAnsi="Times New Roman" w:eastAsia="黑体"/>
          <w:b/>
          <w:sz w:val="32"/>
        </w:rPr>
        <w:t>六、结论与行动建议</w:t>
      </w:r>
    </w:p>
    <w:p>
      <w:pPr>
        <w:spacing w:line="360" w:lineRule="auto" w:after="120" w:before="200"/>
        <w:jc w:val="both"/>
      </w:pPr>
      <w:r>
        <w:rPr>
          <w:rFonts w:ascii="Times New Roman" w:hAnsi="Times New Roman" w:eastAsia="黑体"/>
          <w:b/>
          <w:sz w:val="27"/>
        </w:rPr>
        <w:t>（一）结论</w:t>
      </w:r>
    </w:p>
    <w:p>
      <w:pPr>
        <w:spacing w:line="360" w:lineRule="auto" w:after="80"/>
        <w:ind w:left="480" w:hanging="240"/>
      </w:pPr>
      <w:r>
        <w:rPr>
          <w:rFonts w:ascii="Times New Roman" w:hAnsi="Times New Roman" w:eastAsia="宋体"/>
          <w:b w:val="0"/>
          <w:sz w:val="24"/>
        </w:rPr>
        <w:t>· 国内资金参与境外证券投资的通道正经历结构性重塑：灰色路径被封堵，合规通道普遍受制于额度总闸门。</w:t>
      </w:r>
    </w:p>
    <w:p>
      <w:pPr>
        <w:spacing w:line="360" w:lineRule="auto" w:after="80"/>
        <w:ind w:left="480" w:hanging="240"/>
      </w:pPr>
      <w:r>
        <w:rPr>
          <w:rFonts w:ascii="Times New Roman" w:hAnsi="Times New Roman" w:eastAsia="宋体"/>
          <w:b w:val="0"/>
          <w:sz w:val="24"/>
        </w:rPr>
        <w:t>· 在QDII额度稀缺、QDLP新增额度极为有限、QDIE需逐笔备案、港股通不覆盖美股直接标的的格局下，跨境收益互换是私募产品配置美股最具现实可行性的通道。</w:t>
      </w:r>
    </w:p>
    <w:p>
      <w:pPr>
        <w:spacing w:line="360" w:lineRule="auto" w:after="80"/>
        <w:ind w:left="480" w:hanging="240"/>
      </w:pPr>
      <w:r>
        <w:rPr>
          <w:rFonts w:ascii="Times New Roman" w:hAnsi="Times New Roman" w:eastAsia="宋体"/>
          <w:b w:val="0"/>
          <w:sz w:val="24"/>
        </w:rPr>
        <w:t>· 瀚宇1号采用境内券商跨境收益互换，在额度可得性、合规确定性、资金路径、标的范围与交易权完整性五个维度上均处于有利位置；其中"行业普遍只减不加、本产品仍可建仓"是最核心的差异化壁垒。</w:t>
      </w:r>
    </w:p>
    <w:p>
      <w:pPr>
        <w:spacing w:line="360" w:lineRule="auto" w:after="120" w:before="200"/>
        <w:jc w:val="both"/>
      </w:pPr>
      <w:r>
        <w:rPr>
          <w:rFonts w:ascii="Times New Roman" w:hAnsi="Times New Roman" w:eastAsia="黑体"/>
          <w:b/>
          <w:sz w:val="27"/>
        </w:rPr>
        <w:t>（二）行动建议</w:t>
      </w:r>
    </w:p>
    <w:tbl>
      <w:tblPr>
        <w:tblStyle w:val="TableGrid"/>
        <w:tblW w:type="auto" w:w="0"/>
        <w:jc w:val="center"/>
        <w:tblLook w:firstColumn="1" w:firstRow="1" w:lastColumn="0" w:lastRow="0" w:noHBand="0" w:noVBand="1" w:val="04A0"/>
      </w:tblPr>
      <w:tblGrid>
        <w:gridCol w:w="2882"/>
        <w:gridCol w:w="2882"/>
        <w:gridCol w:w="2882"/>
      </w:tblGrid>
      <w:tr>
        <w:tc>
          <w:tcPr>
            <w:tcW w:type="dxa" w:w="907"/>
            <w:shd w:val="clear" w:color="auto" w:fill="D9E2F3"/>
          </w:tcPr>
          <w:p>
            <w:pPr>
              <w:spacing w:line="240" w:lineRule="auto"/>
              <w:jc w:val="center"/>
            </w:pPr>
            <w:r>
              <w:rPr>
                <w:rFonts w:ascii="Times New Roman" w:hAnsi="Times New Roman" w:eastAsia="黑体"/>
                <w:b/>
                <w:sz w:val="20"/>
              </w:rPr>
              <w:t>优先级</w:t>
            </w:r>
          </w:p>
        </w:tc>
        <w:tc>
          <w:tcPr>
            <w:tcW w:type="dxa" w:w="2494"/>
            <w:shd w:val="clear" w:color="auto" w:fill="D9E2F3"/>
          </w:tcPr>
          <w:p>
            <w:pPr>
              <w:spacing w:line="240" w:lineRule="auto"/>
              <w:jc w:val="center"/>
            </w:pPr>
            <w:r>
              <w:rPr>
                <w:rFonts w:ascii="Times New Roman" w:hAnsi="Times New Roman" w:eastAsia="黑体"/>
                <w:b/>
                <w:sz w:val="20"/>
              </w:rPr>
              <w:t>事项</w:t>
            </w:r>
          </w:p>
        </w:tc>
        <w:tc>
          <w:tcPr>
            <w:tcW w:type="dxa" w:w="4989"/>
            <w:shd w:val="clear" w:color="auto" w:fill="D9E2F3"/>
          </w:tcPr>
          <w:p>
            <w:pPr>
              <w:spacing w:line="240" w:lineRule="auto"/>
              <w:jc w:val="center"/>
            </w:pPr>
            <w:r>
              <w:rPr>
                <w:rFonts w:ascii="Times New Roman" w:hAnsi="Times New Roman" w:eastAsia="黑体"/>
                <w:b/>
                <w:sz w:val="20"/>
              </w:rPr>
              <w:t>说明</w:t>
            </w:r>
          </w:p>
        </w:tc>
      </w:tr>
      <w:tr>
        <w:tc>
          <w:tcPr>
            <w:tcW w:type="dxa" w:w="907"/>
          </w:tcPr>
          <w:p>
            <w:pPr>
              <w:spacing w:line="240" w:lineRule="auto" w:after="40"/>
            </w:pPr>
            <w:r>
              <w:rPr>
                <w:rFonts w:ascii="Times New Roman" w:hAnsi="Times New Roman" w:eastAsia="宋体"/>
                <w:b/>
                <w:sz w:val="20"/>
              </w:rPr>
              <w:t>高</w:t>
            </w:r>
          </w:p>
        </w:tc>
        <w:tc>
          <w:tcPr>
            <w:tcW w:type="dxa" w:w="2494"/>
          </w:tcPr>
          <w:p>
            <w:pPr>
              <w:spacing w:line="240" w:lineRule="auto" w:after="40"/>
            </w:pPr>
            <w:r>
              <w:rPr>
                <w:rFonts w:ascii="Times New Roman" w:hAnsi="Times New Roman" w:eastAsia="宋体"/>
                <w:b w:val="0"/>
                <w:sz w:val="20"/>
              </w:rPr>
              <w:t>建立额度月度复核机制</w:t>
            </w:r>
          </w:p>
        </w:tc>
        <w:tc>
          <w:tcPr>
            <w:tcW w:type="dxa" w:w="4989"/>
          </w:tcPr>
          <w:p>
            <w:pPr>
              <w:spacing w:line="240" w:lineRule="auto" w:after="40"/>
            </w:pPr>
            <w:r>
              <w:rPr>
                <w:rFonts w:ascii="Times New Roman" w:hAnsi="Times New Roman" w:eastAsia="宋体"/>
                <w:b w:val="0"/>
                <w:sz w:val="20"/>
              </w:rPr>
              <w:t>与合作券商保持常态化沟通，按月确认额度可用状态与监管口径变化；出现收紧迹象即启动应急预案</w:t>
            </w:r>
          </w:p>
        </w:tc>
      </w:tr>
      <w:tr>
        <w:tc>
          <w:tcPr>
            <w:tcW w:type="dxa" w:w="907"/>
          </w:tcPr>
          <w:p>
            <w:pPr>
              <w:spacing w:line="240" w:lineRule="auto" w:after="40"/>
            </w:pPr>
            <w:r>
              <w:rPr>
                <w:rFonts w:ascii="Times New Roman" w:hAnsi="Times New Roman" w:eastAsia="宋体"/>
                <w:b/>
                <w:sz w:val="20"/>
              </w:rPr>
              <w:t>高</w:t>
            </w:r>
          </w:p>
        </w:tc>
        <w:tc>
          <w:tcPr>
            <w:tcW w:type="dxa" w:w="2494"/>
          </w:tcPr>
          <w:p>
            <w:pPr>
              <w:spacing w:line="240" w:lineRule="auto" w:after="40"/>
            </w:pPr>
            <w:r>
              <w:rPr>
                <w:rFonts w:ascii="Times New Roman" w:hAnsi="Times New Roman" w:eastAsia="宋体"/>
                <w:b w:val="0"/>
                <w:sz w:val="20"/>
              </w:rPr>
              <w:t>准备额度收紧的替代预案</w:t>
            </w:r>
          </w:p>
        </w:tc>
        <w:tc>
          <w:tcPr>
            <w:tcW w:type="dxa" w:w="4989"/>
          </w:tcPr>
          <w:p>
            <w:pPr>
              <w:spacing w:line="240" w:lineRule="auto" w:after="40"/>
            </w:pPr>
            <w:r>
              <w:rPr>
                <w:rFonts w:ascii="Times New Roman" w:hAnsi="Times New Roman" w:eastAsia="宋体"/>
                <w:b w:val="0"/>
                <w:sz w:val="20"/>
              </w:rPr>
              <w:t>包括降低海外仓位占比、延长合约期限锁定存量敞口、评估QDLP/QDIE试点资格可行性、或转向其他合规跨境工具</w:t>
            </w:r>
          </w:p>
        </w:tc>
      </w:tr>
      <w:tr>
        <w:tc>
          <w:tcPr>
            <w:tcW w:type="dxa" w:w="907"/>
          </w:tcPr>
          <w:p>
            <w:pPr>
              <w:spacing w:line="240" w:lineRule="auto" w:after="40"/>
            </w:pPr>
            <w:r>
              <w:rPr>
                <w:rFonts w:ascii="Times New Roman" w:hAnsi="Times New Roman" w:eastAsia="宋体"/>
                <w:b/>
                <w:sz w:val="20"/>
              </w:rPr>
              <w:t>高</w:t>
            </w:r>
          </w:p>
        </w:tc>
        <w:tc>
          <w:tcPr>
            <w:tcW w:type="dxa" w:w="2494"/>
          </w:tcPr>
          <w:p>
            <w:pPr>
              <w:spacing w:line="240" w:lineRule="auto" w:after="40"/>
            </w:pPr>
            <w:r>
              <w:rPr>
                <w:rFonts w:ascii="Times New Roman" w:hAnsi="Times New Roman" w:eastAsia="宋体"/>
                <w:b w:val="0"/>
                <w:sz w:val="20"/>
              </w:rPr>
              <w:t>统一对外沟通口径</w:t>
            </w:r>
          </w:p>
        </w:tc>
        <w:tc>
          <w:tcPr>
            <w:tcW w:type="dxa" w:w="4989"/>
          </w:tcPr>
          <w:p>
            <w:pPr>
              <w:spacing w:line="240" w:lineRule="auto" w:after="40"/>
            </w:pPr>
            <w:r>
              <w:rPr>
                <w:rFonts w:ascii="Times New Roman" w:hAnsi="Times New Roman" w:eastAsia="宋体"/>
                <w:b w:val="0"/>
                <w:sz w:val="20"/>
              </w:rPr>
              <w:t>以"境内持牌券商跨境收益互换 + 当前额度可用 + 双重持牌合规"为主线，避免任何可能被理解为绕道开户的表述</w:t>
            </w:r>
          </w:p>
        </w:tc>
      </w:tr>
      <w:tr>
        <w:tc>
          <w:tcPr>
            <w:tcW w:type="dxa" w:w="907"/>
          </w:tcPr>
          <w:p>
            <w:pPr>
              <w:spacing w:line="240" w:lineRule="auto" w:after="40"/>
            </w:pPr>
            <w:r>
              <w:rPr>
                <w:rFonts w:ascii="Times New Roman" w:hAnsi="Times New Roman" w:eastAsia="宋体"/>
                <w:b/>
                <w:sz w:val="20"/>
              </w:rPr>
              <w:t>中</w:t>
            </w:r>
          </w:p>
        </w:tc>
        <w:tc>
          <w:tcPr>
            <w:tcW w:type="dxa" w:w="2494"/>
          </w:tcPr>
          <w:p>
            <w:pPr>
              <w:spacing w:line="240" w:lineRule="auto" w:after="40"/>
            </w:pPr>
            <w:r>
              <w:rPr>
                <w:rFonts w:ascii="Times New Roman" w:hAnsi="Times New Roman" w:eastAsia="宋体"/>
                <w:b w:val="0"/>
                <w:sz w:val="20"/>
              </w:rPr>
              <w:t>完成通道方资质留痕</w:t>
            </w:r>
          </w:p>
        </w:tc>
        <w:tc>
          <w:tcPr>
            <w:tcW w:type="dxa" w:w="4989"/>
          </w:tcPr>
          <w:p>
            <w:pPr>
              <w:spacing w:line="240" w:lineRule="auto" w:after="40"/>
            </w:pPr>
            <w:r>
              <w:rPr>
                <w:rFonts w:ascii="Times New Roman" w:hAnsi="Times New Roman" w:eastAsia="宋体"/>
                <w:b w:val="0"/>
                <w:sz w:val="20"/>
              </w:rPr>
              <w:t>将合作券商的跨境业务试点资质、跨境收益互换业务资格与SAC主协议文本形成书面核验底稿，纳入合规档案</w:t>
            </w:r>
          </w:p>
        </w:tc>
      </w:tr>
      <w:tr>
        <w:tc>
          <w:tcPr>
            <w:tcW w:type="dxa" w:w="907"/>
          </w:tcPr>
          <w:p>
            <w:pPr>
              <w:spacing w:line="240" w:lineRule="auto" w:after="40"/>
            </w:pPr>
            <w:r>
              <w:rPr>
                <w:rFonts w:ascii="Times New Roman" w:hAnsi="Times New Roman" w:eastAsia="宋体"/>
                <w:b/>
                <w:sz w:val="20"/>
              </w:rPr>
              <w:t>中</w:t>
            </w:r>
          </w:p>
        </w:tc>
        <w:tc>
          <w:tcPr>
            <w:tcW w:type="dxa" w:w="2494"/>
          </w:tcPr>
          <w:p>
            <w:pPr>
              <w:spacing w:line="240" w:lineRule="auto" w:after="40"/>
            </w:pPr>
            <w:r>
              <w:rPr>
                <w:rFonts w:ascii="Times New Roman" w:hAnsi="Times New Roman" w:eastAsia="宋体"/>
                <w:b w:val="0"/>
                <w:sz w:val="20"/>
              </w:rPr>
              <w:t>动态更新披露文件</w:t>
            </w:r>
          </w:p>
        </w:tc>
        <w:tc>
          <w:tcPr>
            <w:tcW w:type="dxa" w:w="4989"/>
          </w:tcPr>
          <w:p>
            <w:pPr>
              <w:spacing w:line="240" w:lineRule="auto" w:after="40"/>
            </w:pPr>
            <w:r>
              <w:rPr>
                <w:rFonts w:ascii="Times New Roman" w:hAnsi="Times New Roman" w:eastAsia="宋体"/>
                <w:b w:val="0"/>
                <w:sz w:val="20"/>
              </w:rPr>
              <w:t>额度状态或政策发生重大变化时，同步更新基金合同与风险揭示书的相关表述</w:t>
            </w:r>
          </w:p>
        </w:tc>
      </w:tr>
      <w:tr>
        <w:tc>
          <w:tcPr>
            <w:tcW w:type="dxa" w:w="907"/>
          </w:tcPr>
          <w:p>
            <w:pPr>
              <w:spacing w:line="240" w:lineRule="auto" w:after="40"/>
            </w:pPr>
            <w:r>
              <w:rPr>
                <w:rFonts w:ascii="Times New Roman" w:hAnsi="Times New Roman" w:eastAsia="宋体"/>
                <w:b/>
                <w:sz w:val="20"/>
              </w:rPr>
              <w:t>低</w:t>
            </w:r>
          </w:p>
        </w:tc>
        <w:tc>
          <w:tcPr>
            <w:tcW w:type="dxa" w:w="2494"/>
          </w:tcPr>
          <w:p>
            <w:pPr>
              <w:spacing w:line="240" w:lineRule="auto" w:after="40"/>
            </w:pPr>
            <w:r>
              <w:rPr>
                <w:rFonts w:ascii="Times New Roman" w:hAnsi="Times New Roman" w:eastAsia="宋体"/>
                <w:b w:val="0"/>
                <w:sz w:val="20"/>
              </w:rPr>
              <w:t>建立同业对照跟踪</w:t>
            </w:r>
          </w:p>
        </w:tc>
        <w:tc>
          <w:tcPr>
            <w:tcW w:type="dxa" w:w="4989"/>
          </w:tcPr>
          <w:p>
            <w:pPr>
              <w:spacing w:line="240" w:lineRule="auto" w:after="40"/>
            </w:pPr>
            <w:r>
              <w:rPr>
                <w:rFonts w:ascii="Times New Roman" w:hAnsi="Times New Roman" w:eastAsia="宋体"/>
                <w:b w:val="0"/>
                <w:sz w:val="20"/>
              </w:rPr>
              <w:t>持续跟踪跨境收益互换政策走向与在港机构清理进度，定期评估产品的相对竞争优势变化</w:t>
            </w:r>
          </w:p>
        </w:tc>
      </w:tr>
    </w:tbl>
    <w:p>
      <w:pPr>
        <w:spacing w:after="40"/>
      </w:pPr>
    </w:p>
    <w:p>
      <w:pPr>
        <w:spacing w:line="360" w:lineRule="auto" w:after="120" w:before="200"/>
        <w:jc w:val="both"/>
      </w:pPr>
      <w:r>
        <w:rPr>
          <w:rFonts w:ascii="Times New Roman" w:hAnsi="Times New Roman" w:eastAsia="黑体"/>
          <w:b/>
          <w:sz w:val="27"/>
        </w:rPr>
        <w:t>（三）对外沟通的三个要点</w:t>
      </w:r>
    </w:p>
    <w:p>
      <w:pPr>
        <w:spacing w:line="360" w:lineRule="auto" w:after="80"/>
        <w:ind w:left="480" w:hanging="240"/>
      </w:pPr>
      <w:r>
        <w:rPr>
          <w:rFonts w:ascii="Times New Roman" w:hAnsi="Times New Roman" w:eastAsia="宋体"/>
          <w:b w:val="0"/>
          <w:sz w:val="24"/>
        </w:rPr>
        <w:t>· 讲清定位：瀚宇1号是境内依法备案的私募基金产品，通过境内持牌券商的跨境收益互换持有美股敞口，资金不出境、不占用QDII额度，不是个人账户绕道开户，不受本轮"只出不进"限制。</w:t>
      </w:r>
    </w:p>
    <w:p>
      <w:pPr>
        <w:spacing w:line="360" w:lineRule="auto" w:after="80"/>
        <w:ind w:left="480" w:hanging="240"/>
      </w:pPr>
      <w:r>
        <w:rPr>
          <w:rFonts w:ascii="Times New Roman" w:hAnsi="Times New Roman" w:eastAsia="宋体"/>
          <w:b w:val="0"/>
          <w:sz w:val="24"/>
        </w:rPr>
        <w:t>· 讲清能力：在行业普遍"只能卖出、不能换仓"的环境下，产品保持建仓、加仓、调仓、止盈止损的完整交易权，当前可开仓美股ETF与美股股指期货。</w:t>
      </w:r>
    </w:p>
    <w:p>
      <w:pPr>
        <w:spacing w:line="360" w:lineRule="auto" w:after="80"/>
        <w:ind w:left="480" w:hanging="240"/>
      </w:pPr>
      <w:r>
        <w:rPr>
          <w:rFonts w:ascii="Times New Roman" w:hAnsi="Times New Roman" w:eastAsia="宋体"/>
          <w:b w:val="0"/>
          <w:sz w:val="24"/>
        </w:rPr>
        <w:t>· 讲清边界：如实说明跨境收益互换的额度管控现状、衍生品结构与相关风险，不夸大、不承诺，以专业与透明建立信任。</w:t>
      </w:r>
    </w:p>
    <w:p>
      <w:pPr>
        <w:spacing w:line="360" w:lineRule="auto" w:after="160" w:before="320"/>
        <w:jc w:val="both"/>
      </w:pPr>
      <w:r>
        <w:rPr>
          <w:rFonts w:ascii="Times New Roman" w:hAnsi="Times New Roman" w:eastAsia="黑体"/>
          <w:b/>
          <w:sz w:val="32"/>
        </w:rPr>
        <w:t>附注：本报告依据的公司确认事实</w:t>
      </w:r>
    </w:p>
    <w:tbl>
      <w:tblPr>
        <w:tblStyle w:val="TableGrid"/>
        <w:tblW w:type="auto" w:w="0"/>
        <w:jc w:val="center"/>
        <w:tblLook w:firstColumn="1" w:firstRow="1" w:lastColumn="0" w:lastRow="0" w:noHBand="0" w:noVBand="1" w:val="04A0"/>
      </w:tblPr>
      <w:tblGrid>
        <w:gridCol w:w="2882"/>
        <w:gridCol w:w="2882"/>
        <w:gridCol w:w="2882"/>
      </w:tblGrid>
      <w:tr>
        <w:tc>
          <w:tcPr>
            <w:tcW w:type="dxa" w:w="794"/>
            <w:shd w:val="clear" w:color="auto" w:fill="D9E2F3"/>
          </w:tcPr>
          <w:p>
            <w:pPr>
              <w:spacing w:line="240" w:lineRule="auto"/>
              <w:jc w:val="center"/>
            </w:pPr>
            <w:r>
              <w:rPr>
                <w:rFonts w:ascii="Times New Roman" w:hAnsi="Times New Roman" w:eastAsia="黑体"/>
                <w:b/>
                <w:sz w:val="20"/>
              </w:rPr>
              <w:t>序号</w:t>
            </w:r>
          </w:p>
        </w:tc>
        <w:tc>
          <w:tcPr>
            <w:tcW w:type="dxa" w:w="2268"/>
            <w:shd w:val="clear" w:color="auto" w:fill="D9E2F3"/>
          </w:tcPr>
          <w:p>
            <w:pPr>
              <w:spacing w:line="240" w:lineRule="auto"/>
              <w:jc w:val="center"/>
            </w:pPr>
            <w:r>
              <w:rPr>
                <w:rFonts w:ascii="Times New Roman" w:hAnsi="Times New Roman" w:eastAsia="黑体"/>
                <w:b/>
                <w:sz w:val="20"/>
              </w:rPr>
              <w:t>确认事项</w:t>
            </w:r>
          </w:p>
        </w:tc>
        <w:tc>
          <w:tcPr>
            <w:tcW w:type="dxa" w:w="5329"/>
            <w:shd w:val="clear" w:color="auto" w:fill="D9E2F3"/>
          </w:tcPr>
          <w:p>
            <w:pPr>
              <w:spacing w:line="240" w:lineRule="auto"/>
              <w:jc w:val="center"/>
            </w:pPr>
            <w:r>
              <w:rPr>
                <w:rFonts w:ascii="Times New Roman" w:hAnsi="Times New Roman" w:eastAsia="黑体"/>
                <w:b/>
                <w:sz w:val="20"/>
              </w:rPr>
              <w:t>确认内容</w:t>
            </w:r>
          </w:p>
        </w:tc>
      </w:tr>
      <w:tr>
        <w:tc>
          <w:tcPr>
            <w:tcW w:type="dxa" w:w="794"/>
          </w:tcPr>
          <w:p>
            <w:pPr>
              <w:spacing w:line="240" w:lineRule="auto" w:after="40"/>
            </w:pPr>
            <w:r>
              <w:rPr>
                <w:rFonts w:ascii="Times New Roman" w:hAnsi="Times New Roman" w:eastAsia="宋体"/>
                <w:b/>
                <w:sz w:val="20"/>
              </w:rPr>
              <w:t>1</w:t>
            </w:r>
          </w:p>
        </w:tc>
        <w:tc>
          <w:tcPr>
            <w:tcW w:type="dxa" w:w="2268"/>
          </w:tcPr>
          <w:p>
            <w:pPr>
              <w:spacing w:line="240" w:lineRule="auto" w:after="40"/>
            </w:pPr>
            <w:r>
              <w:rPr>
                <w:rFonts w:ascii="Times New Roman" w:hAnsi="Times New Roman" w:eastAsia="宋体"/>
                <w:b w:val="0"/>
                <w:sz w:val="20"/>
              </w:rPr>
              <w:t>美股敞口实现层级</w:t>
            </w:r>
          </w:p>
        </w:tc>
        <w:tc>
          <w:tcPr>
            <w:tcW w:type="dxa" w:w="5329"/>
          </w:tcPr>
          <w:p>
            <w:pPr>
              <w:spacing w:line="240" w:lineRule="auto" w:after="40"/>
            </w:pPr>
            <w:r>
              <w:rPr>
                <w:rFonts w:ascii="Times New Roman" w:hAnsi="Times New Roman" w:eastAsia="宋体"/>
                <w:b w:val="0"/>
                <w:sz w:val="20"/>
              </w:rPr>
              <w:t>仅为境内券商跨境收益互换（TRS）</w:t>
            </w:r>
          </w:p>
        </w:tc>
      </w:tr>
      <w:tr>
        <w:tc>
          <w:tcPr>
            <w:tcW w:type="dxa" w:w="794"/>
          </w:tcPr>
          <w:p>
            <w:pPr>
              <w:spacing w:line="240" w:lineRule="auto" w:after="40"/>
            </w:pPr>
            <w:r>
              <w:rPr>
                <w:rFonts w:ascii="Times New Roman" w:hAnsi="Times New Roman" w:eastAsia="宋体"/>
                <w:b/>
                <w:sz w:val="20"/>
              </w:rPr>
              <w:t>2</w:t>
            </w:r>
          </w:p>
        </w:tc>
        <w:tc>
          <w:tcPr>
            <w:tcW w:type="dxa" w:w="2268"/>
          </w:tcPr>
          <w:p>
            <w:pPr>
              <w:spacing w:line="240" w:lineRule="auto" w:after="40"/>
            </w:pPr>
            <w:r>
              <w:rPr>
                <w:rFonts w:ascii="Times New Roman" w:hAnsi="Times New Roman" w:eastAsia="宋体"/>
                <w:b w:val="0"/>
                <w:sz w:val="20"/>
              </w:rPr>
              <w:t>额度状态</w:t>
            </w:r>
          </w:p>
        </w:tc>
        <w:tc>
          <w:tcPr>
            <w:tcW w:type="dxa" w:w="5329"/>
          </w:tcPr>
          <w:p>
            <w:pPr>
              <w:spacing w:line="240" w:lineRule="auto" w:after="40"/>
            </w:pPr>
            <w:r>
              <w:rPr>
                <w:rFonts w:ascii="Times New Roman" w:hAnsi="Times New Roman" w:eastAsia="宋体"/>
                <w:b w:val="0"/>
                <w:sz w:val="20"/>
              </w:rPr>
              <w:t>目前未受2026年6月23日股票类跨境收益互换新增暂停约束，可以开仓美股ETF及美股股指期货</w:t>
            </w:r>
          </w:p>
        </w:tc>
      </w:tr>
      <w:tr>
        <w:tc>
          <w:tcPr>
            <w:tcW w:type="dxa" w:w="794"/>
          </w:tcPr>
          <w:p>
            <w:pPr>
              <w:spacing w:line="240" w:lineRule="auto" w:after="40"/>
            </w:pPr>
            <w:r>
              <w:rPr>
                <w:rFonts w:ascii="Times New Roman" w:hAnsi="Times New Roman" w:eastAsia="宋体"/>
                <w:b/>
                <w:sz w:val="20"/>
              </w:rPr>
              <w:t>3</w:t>
            </w:r>
          </w:p>
        </w:tc>
        <w:tc>
          <w:tcPr>
            <w:tcW w:type="dxa" w:w="2268"/>
          </w:tcPr>
          <w:p>
            <w:pPr>
              <w:spacing w:line="240" w:lineRule="auto" w:after="40"/>
            </w:pPr>
            <w:r>
              <w:rPr>
                <w:rFonts w:ascii="Times New Roman" w:hAnsi="Times New Roman" w:eastAsia="宋体"/>
                <w:b w:val="0"/>
                <w:sz w:val="20"/>
              </w:rPr>
              <w:t>信息披露</w:t>
            </w:r>
          </w:p>
        </w:tc>
        <w:tc>
          <w:tcPr>
            <w:tcW w:type="dxa" w:w="5329"/>
          </w:tcPr>
          <w:p>
            <w:pPr>
              <w:spacing w:line="240" w:lineRule="auto" w:after="40"/>
            </w:pPr>
            <w:r>
              <w:rPr>
                <w:rFonts w:ascii="Times New Roman" w:hAnsi="Times New Roman" w:eastAsia="宋体"/>
                <w:b w:val="0"/>
                <w:sz w:val="20"/>
              </w:rPr>
              <w:t>基金合同、风险揭示书已就跨境结构、通道方与额度风险充分披露</w:t>
            </w:r>
          </w:p>
        </w:tc>
      </w:tr>
      <w:tr>
        <w:tc>
          <w:tcPr>
            <w:tcW w:type="dxa" w:w="794"/>
          </w:tcPr>
          <w:p>
            <w:pPr>
              <w:spacing w:line="240" w:lineRule="auto" w:after="40"/>
            </w:pPr>
            <w:r>
              <w:rPr>
                <w:rFonts w:ascii="Times New Roman" w:hAnsi="Times New Roman" w:eastAsia="宋体"/>
                <w:b/>
                <w:sz w:val="20"/>
              </w:rPr>
              <w:t>4</w:t>
            </w:r>
          </w:p>
        </w:tc>
        <w:tc>
          <w:tcPr>
            <w:tcW w:type="dxa" w:w="2268"/>
          </w:tcPr>
          <w:p>
            <w:pPr>
              <w:spacing w:line="240" w:lineRule="auto" w:after="40"/>
            </w:pPr>
            <w:r>
              <w:rPr>
                <w:rFonts w:ascii="Times New Roman" w:hAnsi="Times New Roman" w:eastAsia="宋体"/>
                <w:b w:val="0"/>
                <w:sz w:val="20"/>
              </w:rPr>
              <w:t>资金路径</w:t>
            </w:r>
          </w:p>
        </w:tc>
        <w:tc>
          <w:tcPr>
            <w:tcW w:type="dxa" w:w="5329"/>
          </w:tcPr>
          <w:p>
            <w:pPr>
              <w:spacing w:line="240" w:lineRule="auto" w:after="40"/>
            </w:pPr>
            <w:r>
              <w:rPr>
                <w:rFonts w:ascii="Times New Roman" w:hAnsi="Times New Roman" w:eastAsia="宋体"/>
                <w:b w:val="0"/>
                <w:sz w:val="20"/>
              </w:rPr>
              <w:t>不涉及境内投资者资金出境，不涉及相应的结售汇与税务处理安排</w:t>
            </w:r>
          </w:p>
        </w:tc>
      </w:tr>
    </w:tbl>
    <w:p>
      <w:pPr>
        <w:spacing w:after="40"/>
      </w:pPr>
    </w:p>
    <w:p>
      <w:pPr>
        <w:spacing w:line="360" w:lineRule="auto" w:after="120" w:before="240"/>
        <w:ind w:firstLine="400"/>
        <w:jc w:val="both"/>
      </w:pPr>
      <w:r>
        <w:rPr>
          <w:rFonts w:ascii="Times New Roman" w:hAnsi="Times New Roman" w:eastAsia="楷体"/>
          <w:b w:val="0"/>
          <w:color w:val="595959"/>
          <w:sz w:val="20"/>
        </w:rPr>
        <w:t>资料来源：东方财富网转载第一财经《在港机构加码清理内地非法交易 多家收紧部分观望》（2026年10月1日，作者 黄思瑜）；证监会等八部门《综合整治非法跨境证券期货基金经营活动实施方案》；中国证券业协会《证券公司收益互换业务管理办法》；证券时报、券商中国、界面新闻、财联社关于跨境收益互换业务的相关报道；国家外汇管理局公开数据及QDLP/QDIE试点相关公开政策文件；公司于2026年10月1日确认的产品结构与额度状态。</w:t>
      </w:r>
    </w:p>
    <w:sectPr w:rsidR="00FC693F" w:rsidRPr="0006063C" w:rsidSect="00034616">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